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39"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As filed with the Securities and Exchange Commission on August 2, 2021</w:t>
      </w:r>
    </w:p>
    <w:p>
      <w:pPr>
        <w:spacing w:after="0" w:line="2" w:lineRule="exact"/>
        <w:rPr>
          <w:sz w:val="24"/>
          <w:szCs w:val="24"/>
          <w:color w:val="auto"/>
        </w:rPr>
      </w:pPr>
    </w:p>
    <w:p>
      <w:pPr>
        <w:ind w:left="8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wp:posOffset>
            </wp:positionH>
            <wp:positionV relativeFrom="paragraph">
              <wp:posOffset>3810</wp:posOffset>
            </wp:positionV>
            <wp:extent cx="6116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6955" cy="2540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45720</wp:posOffset>
            </wp:positionV>
            <wp:extent cx="6116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6955" cy="8255"/>
                    </a:xfrm>
                    <a:prstGeom prst="rect">
                      <a:avLst/>
                    </a:prstGeom>
                    <a:noFill/>
                  </pic:spPr>
                </pic:pic>
              </a:graphicData>
            </a:graphic>
          </wp:anchor>
        </w:drawing>
      </w:r>
    </w:p>
    <w:p>
      <w:pPr>
        <w:spacing w:after="0" w:line="104"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UNITED STATES</w:t>
      </w: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WASHINGTON, D.C. 20549</w:t>
      </w:r>
    </w:p>
    <w:p>
      <w:pPr>
        <w:spacing w:after="0" w:line="99"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S-3</w:t>
      </w:r>
    </w:p>
    <w:p>
      <w:pPr>
        <w:jc w:val="center"/>
        <w:ind w:right="-479"/>
        <w:spacing w:after="0" w:line="198" w:lineRule="auto"/>
        <w:rPr>
          <w:sz w:val="20"/>
          <w:szCs w:val="20"/>
          <w:color w:val="auto"/>
        </w:rPr>
      </w:pPr>
      <w:r>
        <w:rPr>
          <w:rFonts w:ascii="Arial" w:cs="Arial" w:eastAsia="Arial" w:hAnsi="Arial"/>
          <w:sz w:val="14"/>
          <w:szCs w:val="14"/>
          <w:b w:val="1"/>
          <w:bCs w:val="1"/>
          <w:color w:val="auto"/>
        </w:rPr>
        <w:t>REGISTRATION STATEMENT</w:t>
      </w:r>
    </w:p>
    <w:p>
      <w:pPr>
        <w:jc w:val="center"/>
        <w:ind w:right="-479"/>
        <w:spacing w:after="0" w:line="199" w:lineRule="auto"/>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p>
    <w:tbl>
      <w:tblPr>
        <w:tblLayout w:type="fixed"/>
        <w:tblInd w:w="2060" w:type="dxa"/>
        <w:tblCellMar>
          <w:top w:w="0" w:type="dxa"/>
          <w:left w:w="0" w:type="dxa"/>
          <w:bottom w:w="0" w:type="dxa"/>
          <w:right w:w="0" w:type="dxa"/>
        </w:tblCellMar>
      </w:tblPr>
      <w:tr>
        <w:trPr>
          <w:trHeight w:val="287"/>
        </w:trPr>
        <w:tc>
          <w:tcPr>
            <w:tcW w:w="1620" w:type="dxa"/>
            <w:vAlign w:val="bottom"/>
          </w:tcPr>
          <w:p>
            <w:pPr>
              <w:spacing w:after="0"/>
              <w:rPr>
                <w:sz w:val="24"/>
                <w:szCs w:val="24"/>
                <w:color w:val="auto"/>
              </w:rPr>
            </w:pPr>
          </w:p>
        </w:tc>
        <w:tc>
          <w:tcPr>
            <w:tcW w:w="4660" w:type="dxa"/>
            <w:vAlign w:val="bottom"/>
          </w:tcPr>
          <w:p>
            <w:pPr>
              <w:jc w:val="center"/>
              <w:ind w:right="1322"/>
              <w:spacing w:after="0"/>
              <w:rPr>
                <w:sz w:val="20"/>
                <w:szCs w:val="20"/>
                <w:color w:val="auto"/>
              </w:rPr>
            </w:pPr>
            <w:r>
              <w:rPr>
                <w:rFonts w:ascii="Arial" w:cs="Arial" w:eastAsia="Arial" w:hAnsi="Arial"/>
                <w:sz w:val="25"/>
                <w:szCs w:val="25"/>
                <w:b w:val="1"/>
                <w:bCs w:val="1"/>
                <w:color w:val="auto"/>
                <w:w w:val="91"/>
              </w:rPr>
              <w:t>LivaNova PLC</w:t>
            </w:r>
          </w:p>
        </w:tc>
      </w:tr>
      <w:tr>
        <w:trPr>
          <w:trHeight w:val="181"/>
        </w:trPr>
        <w:tc>
          <w:tcPr>
            <w:tcW w:w="1620" w:type="dxa"/>
            <w:vAlign w:val="bottom"/>
          </w:tcPr>
          <w:p>
            <w:pPr>
              <w:spacing w:after="0"/>
              <w:rPr>
                <w:sz w:val="15"/>
                <w:szCs w:val="15"/>
                <w:color w:val="auto"/>
              </w:rPr>
            </w:pPr>
          </w:p>
        </w:tc>
        <w:tc>
          <w:tcPr>
            <w:tcW w:w="4660" w:type="dxa"/>
            <w:vAlign w:val="bottom"/>
          </w:tcPr>
          <w:p>
            <w:pPr>
              <w:jc w:val="center"/>
              <w:ind w:right="1322"/>
              <w:spacing w:after="0"/>
              <w:rPr>
                <w:sz w:val="20"/>
                <w:szCs w:val="20"/>
                <w:color w:val="auto"/>
              </w:rPr>
            </w:pPr>
            <w:r>
              <w:rPr>
                <w:rFonts w:ascii="Arial" w:cs="Arial" w:eastAsia="Arial" w:hAnsi="Arial"/>
                <w:sz w:val="14"/>
                <w:szCs w:val="14"/>
                <w:color w:val="auto"/>
                <w:w w:val="96"/>
              </w:rPr>
              <w:t>(Exact name of Registrant as specified in its charter)</w:t>
            </w:r>
          </w:p>
        </w:tc>
      </w:tr>
      <w:tr>
        <w:trPr>
          <w:trHeight w:val="184"/>
        </w:trPr>
        <w:tc>
          <w:tcPr>
            <w:tcW w:w="1620" w:type="dxa"/>
            <w:vAlign w:val="bottom"/>
          </w:tcPr>
          <w:p>
            <w:pPr>
              <w:ind w:left="220"/>
              <w:spacing w:after="0"/>
              <w:rPr>
                <w:sz w:val="20"/>
                <w:szCs w:val="20"/>
                <w:color w:val="auto"/>
              </w:rPr>
            </w:pPr>
            <w:r>
              <w:rPr>
                <w:rFonts w:ascii="Arial" w:cs="Arial" w:eastAsia="Arial" w:hAnsi="Arial"/>
                <w:sz w:val="14"/>
                <w:szCs w:val="14"/>
                <w:b w:val="1"/>
                <w:bCs w:val="1"/>
                <w:color w:val="auto"/>
              </w:rPr>
              <w:t>England and Wales</w:t>
            </w:r>
          </w:p>
        </w:tc>
        <w:tc>
          <w:tcPr>
            <w:tcW w:w="4660" w:type="dxa"/>
            <w:vAlign w:val="bottom"/>
          </w:tcPr>
          <w:p>
            <w:pPr>
              <w:jc w:val="center"/>
              <w:ind w:left="3402"/>
              <w:spacing w:after="0"/>
              <w:rPr>
                <w:sz w:val="20"/>
                <w:szCs w:val="20"/>
                <w:color w:val="auto"/>
              </w:rPr>
            </w:pPr>
            <w:r>
              <w:rPr>
                <w:rFonts w:ascii="Arial" w:cs="Arial" w:eastAsia="Arial" w:hAnsi="Arial"/>
                <w:sz w:val="14"/>
                <w:szCs w:val="14"/>
                <w:b w:val="1"/>
                <w:bCs w:val="1"/>
                <w:color w:val="auto"/>
                <w:w w:val="88"/>
              </w:rPr>
              <w:t>98-1268150</w:t>
            </w:r>
          </w:p>
        </w:tc>
      </w:tr>
      <w:tr>
        <w:trPr>
          <w:trHeight w:val="134"/>
        </w:trPr>
        <w:tc>
          <w:tcPr>
            <w:tcW w:w="1620" w:type="dxa"/>
            <w:vAlign w:val="bottom"/>
          </w:tcPr>
          <w:p>
            <w:pPr>
              <w:spacing w:after="0" w:line="134" w:lineRule="exact"/>
              <w:rPr>
                <w:sz w:val="20"/>
                <w:szCs w:val="20"/>
                <w:color w:val="auto"/>
              </w:rPr>
            </w:pPr>
            <w:r>
              <w:rPr>
                <w:rFonts w:ascii="Arial" w:cs="Arial" w:eastAsia="Arial" w:hAnsi="Arial"/>
                <w:sz w:val="12"/>
                <w:szCs w:val="12"/>
                <w:color w:val="auto"/>
              </w:rPr>
              <w:t>(State or other jurisdiction of</w:t>
            </w:r>
          </w:p>
        </w:tc>
        <w:tc>
          <w:tcPr>
            <w:tcW w:w="4660" w:type="dxa"/>
            <w:vAlign w:val="bottom"/>
          </w:tcPr>
          <w:p>
            <w:pPr>
              <w:jc w:val="center"/>
              <w:ind w:left="3362"/>
              <w:spacing w:after="0" w:line="134" w:lineRule="exact"/>
              <w:rPr>
                <w:sz w:val="20"/>
                <w:szCs w:val="20"/>
                <w:color w:val="auto"/>
              </w:rPr>
            </w:pPr>
            <w:r>
              <w:rPr>
                <w:rFonts w:ascii="Arial" w:cs="Arial" w:eastAsia="Arial" w:hAnsi="Arial"/>
                <w:sz w:val="12"/>
                <w:szCs w:val="12"/>
                <w:color w:val="auto"/>
              </w:rPr>
              <w:t>(I.R.S. Employer</w:t>
            </w:r>
          </w:p>
        </w:tc>
      </w:tr>
      <w:tr>
        <w:trPr>
          <w:trHeight w:val="157"/>
        </w:trPr>
        <w:tc>
          <w:tcPr>
            <w:tcW w:w="1620" w:type="dxa"/>
            <w:vAlign w:val="bottom"/>
          </w:tcPr>
          <w:p>
            <w:pPr>
              <w:spacing w:after="0"/>
              <w:rPr>
                <w:sz w:val="20"/>
                <w:szCs w:val="20"/>
                <w:color w:val="auto"/>
              </w:rPr>
            </w:pPr>
            <w:r>
              <w:rPr>
                <w:rFonts w:ascii="Arial" w:cs="Arial" w:eastAsia="Arial" w:hAnsi="Arial"/>
                <w:sz w:val="12"/>
                <w:szCs w:val="12"/>
                <w:color w:val="auto"/>
              </w:rPr>
              <w:t>incorporation or organization)</w:t>
            </w:r>
          </w:p>
        </w:tc>
        <w:tc>
          <w:tcPr>
            <w:tcW w:w="4660" w:type="dxa"/>
            <w:vAlign w:val="bottom"/>
          </w:tcPr>
          <w:p>
            <w:pPr>
              <w:jc w:val="center"/>
              <w:ind w:left="3382"/>
              <w:spacing w:after="0"/>
              <w:rPr>
                <w:sz w:val="20"/>
                <w:szCs w:val="20"/>
                <w:color w:val="auto"/>
              </w:rPr>
            </w:pPr>
            <w:r>
              <w:rPr>
                <w:rFonts w:ascii="Arial" w:cs="Arial" w:eastAsia="Arial" w:hAnsi="Arial"/>
                <w:sz w:val="12"/>
                <w:szCs w:val="12"/>
                <w:color w:val="auto"/>
              </w:rPr>
              <w:t>Identification Number)</w:t>
            </w:r>
          </w:p>
        </w:tc>
      </w:tr>
    </w:tbl>
    <w:p>
      <w:pPr>
        <w:spacing w:after="0" w:line="16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20 Eastbourne Terrace</w:t>
      </w:r>
    </w:p>
    <w:p>
      <w:pPr>
        <w:jc w:val="center"/>
        <w:ind w:right="-479"/>
        <w:spacing w:after="0" w:line="198" w:lineRule="auto"/>
        <w:rPr>
          <w:sz w:val="20"/>
          <w:szCs w:val="20"/>
          <w:color w:val="auto"/>
        </w:rPr>
      </w:pPr>
      <w:r>
        <w:rPr>
          <w:rFonts w:ascii="Arial" w:cs="Arial" w:eastAsia="Arial" w:hAnsi="Arial"/>
          <w:sz w:val="14"/>
          <w:szCs w:val="14"/>
          <w:b w:val="1"/>
          <w:bCs w:val="1"/>
          <w:color w:val="auto"/>
        </w:rPr>
        <w:t>London, United Kingdom, W2 6LG</w:t>
      </w:r>
    </w:p>
    <w:p>
      <w:pPr>
        <w:spacing w:after="0" w:line="1"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(44) (0) 203 325-0660</w:t>
      </w:r>
    </w:p>
    <w:p>
      <w:pPr>
        <w:spacing w:after="0" w:line="2" w:lineRule="exact"/>
        <w:rPr>
          <w:sz w:val="24"/>
          <w:szCs w:val="24"/>
          <w:color w:val="auto"/>
        </w:rPr>
      </w:pPr>
    </w:p>
    <w:p>
      <w:pPr>
        <w:jc w:val="center"/>
        <w:ind w:right="-499"/>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59"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Keyna Skeffington</w:t>
      </w:r>
    </w:p>
    <w:p>
      <w:pPr>
        <w:jc w:val="center"/>
        <w:ind w:right="-479"/>
        <w:spacing w:after="0" w:line="198" w:lineRule="auto"/>
        <w:rPr>
          <w:sz w:val="20"/>
          <w:szCs w:val="20"/>
          <w:color w:val="auto"/>
        </w:rPr>
      </w:pPr>
      <w:r>
        <w:rPr>
          <w:rFonts w:ascii="Arial" w:cs="Arial" w:eastAsia="Arial" w:hAnsi="Arial"/>
          <w:sz w:val="14"/>
          <w:szCs w:val="14"/>
          <w:b w:val="1"/>
          <w:bCs w:val="1"/>
          <w:color w:val="auto"/>
        </w:rPr>
        <w:t>General Counsel</w:t>
      </w:r>
    </w:p>
    <w:p>
      <w:pPr>
        <w:jc w:val="center"/>
        <w:ind w:right="-479"/>
        <w:spacing w:after="0" w:line="199" w:lineRule="auto"/>
        <w:rPr>
          <w:sz w:val="20"/>
          <w:szCs w:val="20"/>
          <w:color w:val="auto"/>
        </w:rPr>
      </w:pPr>
      <w:r>
        <w:rPr>
          <w:rFonts w:ascii="Arial" w:cs="Arial" w:eastAsia="Arial" w:hAnsi="Arial"/>
          <w:sz w:val="14"/>
          <w:szCs w:val="14"/>
          <w:b w:val="1"/>
          <w:bCs w:val="1"/>
          <w:color w:val="auto"/>
        </w:rPr>
        <w:t>20 Eastbourne Terrace</w:t>
      </w:r>
    </w:p>
    <w:p>
      <w:pPr>
        <w:jc w:val="center"/>
        <w:ind w:right="-479"/>
        <w:spacing w:after="0" w:line="199" w:lineRule="auto"/>
        <w:rPr>
          <w:sz w:val="20"/>
          <w:szCs w:val="20"/>
          <w:color w:val="auto"/>
        </w:rPr>
      </w:pPr>
      <w:r>
        <w:rPr>
          <w:rFonts w:ascii="Arial" w:cs="Arial" w:eastAsia="Arial" w:hAnsi="Arial"/>
          <w:sz w:val="14"/>
          <w:szCs w:val="14"/>
          <w:b w:val="1"/>
          <w:bCs w:val="1"/>
          <w:color w:val="auto"/>
        </w:rPr>
        <w:t>London, United Kingdom, W2 6LG</w:t>
      </w:r>
    </w:p>
    <w:p>
      <w:pPr>
        <w:jc w:val="center"/>
        <w:ind w:right="-519"/>
        <w:spacing w:after="0" w:line="223" w:lineRule="auto"/>
        <w:rPr>
          <w:sz w:val="20"/>
          <w:szCs w:val="20"/>
          <w:color w:val="auto"/>
        </w:rPr>
      </w:pPr>
      <w:r>
        <w:rPr>
          <w:rFonts w:ascii="Arial" w:cs="Arial" w:eastAsia="Arial" w:hAnsi="Arial"/>
          <w:sz w:val="14"/>
          <w:szCs w:val="14"/>
          <w:b w:val="1"/>
          <w:bCs w:val="1"/>
          <w:color w:val="auto"/>
        </w:rPr>
        <w:t>(44) (0) 203 325-0660</w:t>
      </w:r>
    </w:p>
    <w:p>
      <w:pPr>
        <w:jc w:val="center"/>
        <w:ind w:right="-499"/>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70"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Copies to:</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David Lopez</w:t>
      </w:r>
    </w:p>
    <w:p>
      <w:pPr>
        <w:jc w:val="center"/>
        <w:ind w:right="-479"/>
        <w:spacing w:after="0" w:line="198" w:lineRule="auto"/>
        <w:rPr>
          <w:sz w:val="20"/>
          <w:szCs w:val="20"/>
          <w:color w:val="auto"/>
        </w:rPr>
      </w:pPr>
      <w:r>
        <w:rPr>
          <w:rFonts w:ascii="Arial" w:cs="Arial" w:eastAsia="Arial" w:hAnsi="Arial"/>
          <w:sz w:val="14"/>
          <w:szCs w:val="14"/>
          <w:b w:val="1"/>
          <w:bCs w:val="1"/>
          <w:color w:val="auto"/>
        </w:rPr>
        <w:t>Cleary Gottlieb Steen &amp; Hamilton LLP</w:t>
      </w:r>
    </w:p>
    <w:p>
      <w:pPr>
        <w:jc w:val="center"/>
        <w:ind w:right="-479"/>
        <w:spacing w:after="0" w:line="199" w:lineRule="auto"/>
        <w:rPr>
          <w:sz w:val="20"/>
          <w:szCs w:val="20"/>
          <w:color w:val="auto"/>
        </w:rPr>
      </w:pPr>
      <w:r>
        <w:rPr>
          <w:rFonts w:ascii="Arial" w:cs="Arial" w:eastAsia="Arial" w:hAnsi="Arial"/>
          <w:sz w:val="14"/>
          <w:szCs w:val="14"/>
          <w:b w:val="1"/>
          <w:bCs w:val="1"/>
          <w:color w:val="auto"/>
        </w:rPr>
        <w:t>One Liberty Plaza</w:t>
      </w:r>
    </w:p>
    <w:p>
      <w:pPr>
        <w:jc w:val="center"/>
        <w:ind w:right="-479"/>
        <w:spacing w:after="0" w:line="199" w:lineRule="auto"/>
        <w:rPr>
          <w:sz w:val="20"/>
          <w:szCs w:val="20"/>
          <w:color w:val="auto"/>
        </w:rPr>
      </w:pPr>
      <w:r>
        <w:rPr>
          <w:rFonts w:ascii="Arial" w:cs="Arial" w:eastAsia="Arial" w:hAnsi="Arial"/>
          <w:sz w:val="14"/>
          <w:szCs w:val="14"/>
          <w:b w:val="1"/>
          <w:bCs w:val="1"/>
          <w:color w:val="auto"/>
        </w:rPr>
        <w:t>New York, New York 10006</w:t>
      </w:r>
    </w:p>
    <w:p>
      <w:pPr>
        <w:jc w:val="center"/>
        <w:ind w:right="-519"/>
        <w:spacing w:after="0"/>
        <w:rPr>
          <w:sz w:val="20"/>
          <w:szCs w:val="20"/>
          <w:color w:val="auto"/>
        </w:rPr>
      </w:pPr>
      <w:r>
        <w:rPr>
          <w:rFonts w:ascii="Arial" w:cs="Arial" w:eastAsia="Arial" w:hAnsi="Arial"/>
          <w:sz w:val="14"/>
          <w:szCs w:val="14"/>
          <w:b w:val="1"/>
          <w:bCs w:val="1"/>
          <w:color w:val="auto"/>
        </w:rPr>
        <w:t>(212) 225-2000</w:t>
      </w:r>
    </w:p>
    <w:p>
      <w:pPr>
        <w:spacing w:after="0" w:line="23" w:lineRule="exact"/>
        <w:rPr>
          <w:sz w:val="24"/>
          <w:szCs w:val="24"/>
          <w:color w:val="auto"/>
        </w:rPr>
      </w:pPr>
    </w:p>
    <w:p>
      <w:pPr>
        <w:ind w:left="480"/>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From time to time after the effective date of this Registration Statement.</w:t>
      </w:r>
    </w:p>
    <w:p>
      <w:pPr>
        <w:spacing w:after="0" w:line="35" w:lineRule="exact"/>
        <w:rPr>
          <w:sz w:val="24"/>
          <w:szCs w:val="24"/>
          <w:color w:val="auto"/>
        </w:rPr>
      </w:pPr>
    </w:p>
    <w:p>
      <w:pPr>
        <w:ind w:left="480" w:right="440" w:firstLine="356"/>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480" w:right="200" w:firstLine="356"/>
        <w:spacing w:after="0" w:line="16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480" w:right="180" w:firstLine="356"/>
        <w:spacing w:after="0" w:line="16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left="480" w:right="380" w:firstLine="356"/>
        <w:spacing w:after="0" w:line="16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left="480" w:right="160" w:firstLine="356"/>
        <w:spacing w:after="0" w:line="166"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480" w:right="280" w:firstLine="356"/>
        <w:spacing w:after="0" w:line="16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480" w:right="80" w:firstLine="356"/>
        <w:spacing w:after="0" w:line="22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pacing w:after="0" w:line="75" w:lineRule="exact"/>
        <w:rPr>
          <w:sz w:val="24"/>
          <w:szCs w:val="24"/>
          <w:color w:val="auto"/>
        </w:rPr>
      </w:pPr>
    </w:p>
    <w:tbl>
      <w:tblPr>
        <w:tblLayout w:type="fixed"/>
        <w:tblInd w:w="840" w:type="dxa"/>
        <w:tblCellMar>
          <w:top w:w="0" w:type="dxa"/>
          <w:left w:w="0" w:type="dxa"/>
          <w:bottom w:w="0" w:type="dxa"/>
          <w:right w:w="0" w:type="dxa"/>
        </w:tblCellMar>
      </w:tblPr>
      <w:tr>
        <w:trPr>
          <w:trHeight w:val="164"/>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0"/>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2"/>
        </w:trPr>
        <w:tc>
          <w:tcPr>
            <w:tcW w:w="15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6" w:lineRule="exact"/>
        <w:rPr>
          <w:sz w:val="24"/>
          <w:szCs w:val="24"/>
          <w:color w:val="auto"/>
        </w:rPr>
      </w:pPr>
    </w:p>
    <w:p>
      <w:pPr>
        <w:ind w:left="480" w:right="80" w:firstLine="356"/>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40"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CALCULATION OF REGISTRATION FEE</w:t>
      </w:r>
    </w:p>
    <w:p>
      <w:pPr>
        <w:spacing w:after="0" w:line="28" w:lineRule="exact"/>
        <w:rPr>
          <w:sz w:val="24"/>
          <w:szCs w:val="24"/>
          <w:color w:val="auto"/>
        </w:rPr>
      </w:pPr>
    </w:p>
    <w:tbl>
      <w:tblPr>
        <w:tblLayout w:type="fixed"/>
        <w:tblInd w:w="480" w:type="dxa"/>
        <w:tblCellMar>
          <w:top w:w="0" w:type="dxa"/>
          <w:left w:w="0" w:type="dxa"/>
          <w:bottom w:w="0" w:type="dxa"/>
          <w:right w:w="0" w:type="dxa"/>
        </w:tblCellMar>
      </w:tblPr>
      <w:tr>
        <w:trPr>
          <w:trHeight w:val="40"/>
        </w:trPr>
        <w:tc>
          <w:tcPr>
            <w:tcW w:w="386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r>
      <w:tr>
        <w:trPr>
          <w:trHeight w:val="153"/>
        </w:trPr>
        <w:tc>
          <w:tcPr>
            <w:tcW w:w="3860" w:type="dxa"/>
            <w:vAlign w:val="bottom"/>
            <w:tcBorders>
              <w:right w:val="single" w:sz="8" w:color="auto"/>
            </w:tcBorders>
          </w:tcPr>
          <w:p>
            <w:pPr>
              <w:jc w:val="center"/>
              <w:ind w:right="69"/>
              <w:spacing w:after="0" w:line="153" w:lineRule="exact"/>
              <w:rPr>
                <w:sz w:val="20"/>
                <w:szCs w:val="20"/>
                <w:color w:val="auto"/>
              </w:rPr>
            </w:pPr>
            <w:r>
              <w:rPr>
                <w:rFonts w:ascii="Arial" w:cs="Arial" w:eastAsia="Arial" w:hAnsi="Arial"/>
                <w:sz w:val="14"/>
                <w:szCs w:val="14"/>
                <w:b w:val="1"/>
                <w:bCs w:val="1"/>
                <w:color w:val="auto"/>
                <w:w w:val="87"/>
              </w:rPr>
              <w:t>Title of Each Class of</w:t>
            </w:r>
          </w:p>
        </w:tc>
        <w:tc>
          <w:tcPr>
            <w:tcW w:w="10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6"/>
              </w:rPr>
              <w:t>Amount to be</w:t>
            </w:r>
          </w:p>
        </w:tc>
        <w:tc>
          <w:tcPr>
            <w:tcW w:w="17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Proposed Maximum</w:t>
            </w:r>
          </w:p>
        </w:tc>
        <w:tc>
          <w:tcPr>
            <w:tcW w:w="182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Proposed Maximum</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Amount of</w:t>
            </w:r>
          </w:p>
        </w:tc>
      </w:tr>
      <w:tr>
        <w:trPr>
          <w:trHeight w:val="213"/>
        </w:trPr>
        <w:tc>
          <w:tcPr>
            <w:tcW w:w="386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Securities to be Registered</w:t>
            </w:r>
          </w:p>
        </w:tc>
        <w:tc>
          <w:tcPr>
            <w:tcW w:w="10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4"/>
                <w:szCs w:val="14"/>
                <w:b w:val="1"/>
                <w:bCs w:val="1"/>
                <w:color w:val="auto"/>
                <w:w w:val="82"/>
              </w:rPr>
              <w:t>Registered</w:t>
            </w:r>
            <w:r>
              <w:rPr>
                <w:rFonts w:ascii="Arial" w:cs="Arial" w:eastAsia="Arial" w:hAnsi="Arial"/>
                <w:sz w:val="21"/>
                <w:szCs w:val="21"/>
                <w:b w:val="1"/>
                <w:bCs w:val="1"/>
                <w:color w:val="auto"/>
                <w:w w:val="82"/>
                <w:vertAlign w:val="superscript"/>
              </w:rPr>
              <w:t>(1)</w:t>
            </w:r>
          </w:p>
        </w:tc>
        <w:tc>
          <w:tcPr>
            <w:tcW w:w="17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4"/>
                <w:szCs w:val="14"/>
                <w:b w:val="1"/>
                <w:bCs w:val="1"/>
                <w:color w:val="auto"/>
                <w:w w:val="88"/>
              </w:rPr>
              <w:t>Offering Price Per Unit</w:t>
            </w:r>
            <w:r>
              <w:rPr>
                <w:rFonts w:ascii="Arial" w:cs="Arial" w:eastAsia="Arial" w:hAnsi="Arial"/>
                <w:sz w:val="21"/>
                <w:szCs w:val="21"/>
                <w:b w:val="1"/>
                <w:bCs w:val="1"/>
                <w:color w:val="auto"/>
                <w:w w:val="88"/>
                <w:vertAlign w:val="superscript"/>
              </w:rPr>
              <w:t>(1)</w:t>
            </w:r>
          </w:p>
        </w:tc>
        <w:tc>
          <w:tcPr>
            <w:tcW w:w="18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4"/>
                <w:szCs w:val="14"/>
                <w:b w:val="1"/>
                <w:bCs w:val="1"/>
                <w:color w:val="auto"/>
                <w:w w:val="86"/>
              </w:rPr>
              <w:t>Aggregate Offering Price</w:t>
            </w:r>
            <w:r>
              <w:rPr>
                <w:rFonts w:ascii="Arial" w:cs="Arial" w:eastAsia="Arial" w:hAnsi="Arial"/>
                <w:sz w:val="21"/>
                <w:szCs w:val="21"/>
                <w:b w:val="1"/>
                <w:bCs w:val="1"/>
                <w:color w:val="auto"/>
                <w:w w:val="86"/>
                <w:vertAlign w:val="superscript"/>
              </w:rPr>
              <w:t>(1)</w:t>
            </w:r>
          </w:p>
        </w:tc>
        <w:tc>
          <w:tcPr>
            <w:tcW w:w="1160" w:type="dxa"/>
            <w:vAlign w:val="bottom"/>
            <w:tcBorders>
              <w:bottom w:val="single" w:sz="8" w:color="auto"/>
            </w:tcBorders>
          </w:tcPr>
          <w:p>
            <w:pPr>
              <w:jc w:val="center"/>
              <w:ind w:left="29"/>
              <w:spacing w:after="0" w:line="214" w:lineRule="exact"/>
              <w:rPr>
                <w:sz w:val="20"/>
                <w:szCs w:val="20"/>
                <w:color w:val="auto"/>
              </w:rPr>
            </w:pPr>
            <w:r>
              <w:rPr>
                <w:rFonts w:ascii="Arial" w:cs="Arial" w:eastAsia="Arial" w:hAnsi="Arial"/>
                <w:sz w:val="14"/>
                <w:szCs w:val="14"/>
                <w:b w:val="1"/>
                <w:bCs w:val="1"/>
                <w:color w:val="auto"/>
                <w:w w:val="83"/>
              </w:rPr>
              <w:t>Registration Fee</w:t>
            </w:r>
            <w:r>
              <w:rPr>
                <w:rFonts w:ascii="Arial" w:cs="Arial" w:eastAsia="Arial" w:hAnsi="Arial"/>
                <w:sz w:val="21"/>
                <w:szCs w:val="21"/>
                <w:b w:val="1"/>
                <w:bCs w:val="1"/>
                <w:color w:val="auto"/>
                <w:w w:val="83"/>
                <w:vertAlign w:val="superscript"/>
              </w:rPr>
              <w:t>(2)</w:t>
            </w:r>
          </w:p>
        </w:tc>
      </w:tr>
      <w:tr>
        <w:trPr>
          <w:trHeight w:val="213"/>
        </w:trPr>
        <w:tc>
          <w:tcPr>
            <w:tcW w:w="38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nominal value £1.00 per share</w:t>
            </w: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
        </w:trPr>
        <w:tc>
          <w:tcPr>
            <w:tcW w:w="38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Preferred Shares</w:t>
            </w:r>
          </w:p>
        </w:tc>
        <w:tc>
          <w:tcPr>
            <w:tcW w:w="1040" w:type="dxa"/>
            <w:vAlign w:val="bottom"/>
            <w:tcBorders>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0"/>
        </w:trPr>
        <w:tc>
          <w:tcPr>
            <w:tcW w:w="386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3860" w:type="dxa"/>
            <w:vAlign w:val="bottom"/>
            <w:tcBorders>
              <w:bottom w:val="single" w:sz="8" w:color="auto"/>
              <w:right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Rights</w:t>
            </w:r>
            <w:r>
              <w:rPr>
                <w:rFonts w:ascii="Arial" w:cs="Arial" w:eastAsia="Arial" w:hAnsi="Arial"/>
                <w:sz w:val="21"/>
                <w:szCs w:val="21"/>
                <w:color w:val="auto"/>
                <w:vertAlign w:val="superscript"/>
              </w:rPr>
              <w:t>(3)</w:t>
            </w: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
        </w:trPr>
        <w:tc>
          <w:tcPr>
            <w:tcW w:w="38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4"/>
          <w:szCs w:val="24"/>
          <w:color w:val="auto"/>
        </w:rPr>
      </w:pPr>
    </w:p>
    <w:p>
      <w:pPr>
        <w:ind w:left="840" w:right="180" w:hanging="351"/>
        <w:spacing w:after="0" w:line="248"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aggregate initial offering price and number of securities of each class is being registered as may from time to time be sold at unspecified prices.</w:t>
      </w:r>
    </w:p>
    <w:p>
      <w:pPr>
        <w:spacing w:after="0" w:line="67" w:lineRule="exact"/>
        <w:rPr>
          <w:rFonts w:ascii="Arial" w:cs="Arial" w:eastAsia="Arial" w:hAnsi="Arial"/>
          <w:sz w:val="14"/>
          <w:szCs w:val="14"/>
          <w:color w:val="auto"/>
        </w:rPr>
      </w:pPr>
    </w:p>
    <w:p>
      <w:pPr>
        <w:ind w:left="840" w:hanging="351"/>
        <w:spacing w:after="0"/>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is relying on Rule 456(b) and Rule 457(r) under the Securities Act of 1933, as amended, to defer payment of all of the registration fee.</w:t>
      </w:r>
    </w:p>
    <w:p>
      <w:pPr>
        <w:spacing w:after="0" w:line="92" w:lineRule="exact"/>
        <w:rPr>
          <w:rFonts w:ascii="Arial" w:cs="Arial" w:eastAsia="Arial" w:hAnsi="Arial"/>
          <w:sz w:val="14"/>
          <w:szCs w:val="14"/>
          <w:color w:val="auto"/>
        </w:rPr>
      </w:pPr>
    </w:p>
    <w:p>
      <w:pPr>
        <w:ind w:left="840" w:hanging="351"/>
        <w:spacing w:after="0"/>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Representing rights to purchase Ordinary Shares or Preferred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wp:posOffset>
            </wp:positionH>
            <wp:positionV relativeFrom="paragraph">
              <wp:posOffset>36830</wp:posOffset>
            </wp:positionV>
            <wp:extent cx="6116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62230</wp:posOffset>
            </wp:positionV>
            <wp:extent cx="6116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6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320675</wp:posOffset>
            </wp:positionV>
            <wp:extent cx="67525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10100"/>
          </w:cols>
          <w:pgMar w:left="640" w:top="238" w:right="115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125730</wp:posOffset>
            </wp:positionV>
            <wp:extent cx="1482725" cy="262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LivaNova PLC</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Ordinary Shares</w:t>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Preferred Shares</w:t>
      </w:r>
    </w:p>
    <w:p>
      <w:pPr>
        <w:ind w:left="4980"/>
        <w:spacing w:after="0"/>
        <w:rPr>
          <w:sz w:val="20"/>
          <w:szCs w:val="20"/>
          <w:color w:val="auto"/>
        </w:rPr>
      </w:pPr>
      <w:r>
        <w:rPr>
          <w:rFonts w:ascii="Arial" w:cs="Arial" w:eastAsia="Arial" w:hAnsi="Arial"/>
          <w:sz w:val="25"/>
          <w:szCs w:val="25"/>
          <w:b w:val="1"/>
          <w:bCs w:val="1"/>
          <w:color w:val="auto"/>
        </w:rPr>
        <w:t>Rights</w:t>
      </w:r>
    </w:p>
    <w:p>
      <w:pPr>
        <w:spacing w:after="0" w:line="120" w:lineRule="exact"/>
        <w:rPr>
          <w:sz w:val="20"/>
          <w:szCs w:val="20"/>
          <w:color w:val="auto"/>
        </w:rPr>
      </w:pPr>
    </w:p>
    <w:p>
      <w:pPr>
        <w:ind w:left="1240" w:right="779" w:firstLine="356"/>
        <w:spacing w:after="0" w:line="258" w:lineRule="auto"/>
        <w:rPr>
          <w:sz w:val="20"/>
          <w:szCs w:val="20"/>
          <w:color w:val="auto"/>
        </w:rPr>
      </w:pPr>
      <w:r>
        <w:rPr>
          <w:rFonts w:ascii="Arial" w:cs="Arial" w:eastAsia="Arial" w:hAnsi="Arial"/>
          <w:sz w:val="18"/>
          <w:szCs w:val="18"/>
          <w:color w:val="auto"/>
        </w:rPr>
        <w:t>We may offer and sell from time to time the securities described in this prospectus separately or together in any combination, in amounts, at prices and on other terms to be determined at the time of the offering and to be described in an accompanying prospectus supplement.</w:t>
      </w:r>
    </w:p>
    <w:p>
      <w:pPr>
        <w:spacing w:after="0" w:line="106" w:lineRule="exact"/>
        <w:rPr>
          <w:sz w:val="20"/>
          <w:szCs w:val="20"/>
          <w:color w:val="auto"/>
        </w:rPr>
      </w:pPr>
    </w:p>
    <w:p>
      <w:pPr>
        <w:ind w:left="1240" w:right="479" w:firstLine="356"/>
        <w:spacing w:after="0" w:line="267" w:lineRule="auto"/>
        <w:rPr>
          <w:sz w:val="20"/>
          <w:szCs w:val="20"/>
          <w:color w:val="auto"/>
        </w:rPr>
      </w:pPr>
      <w:r>
        <w:rPr>
          <w:rFonts w:ascii="Arial" w:cs="Arial" w:eastAsia="Arial" w:hAnsi="Arial"/>
          <w:sz w:val="17"/>
          <w:szCs w:val="17"/>
          <w:color w:val="auto"/>
        </w:rPr>
        <w:t>This prospectus describes the general manner in which the securities described in this prospectus may be offered and sold. The specific manner in which the securities described in this prospectus may be offered and sold will be described in a supplement to this prospectus. Any prospectus supplement may also add, update or change information contained in this prospectus. You should carefully read this prospectus and the related prospectus supplement, together with the documents we incorporate by reference, before you invest. The prospectus supplement may also add to, update, supplement or clarify information contained in this prospectus. This prospectus may not be used to sell the securities described in this prospectus unless accompanied by a prospectus supplement.</w:t>
      </w:r>
    </w:p>
    <w:p>
      <w:pPr>
        <w:spacing w:after="0" w:line="115" w:lineRule="exact"/>
        <w:rPr>
          <w:sz w:val="20"/>
          <w:szCs w:val="20"/>
          <w:color w:val="auto"/>
        </w:rPr>
      </w:pPr>
    </w:p>
    <w:p>
      <w:pPr>
        <w:ind w:left="1240" w:right="519" w:firstLine="356"/>
        <w:spacing w:after="0" w:line="252" w:lineRule="auto"/>
        <w:rPr>
          <w:sz w:val="20"/>
          <w:szCs w:val="20"/>
          <w:color w:val="auto"/>
        </w:rPr>
      </w:pPr>
      <w:r>
        <w:rPr>
          <w:rFonts w:ascii="Arial" w:cs="Arial" w:eastAsia="Arial" w:hAnsi="Arial"/>
          <w:sz w:val="18"/>
          <w:szCs w:val="18"/>
          <w:color w:val="auto"/>
        </w:rPr>
        <w:t>We may offer and sell the securities described in this prospectus through one or more underwriters, dealers or agents, through underwriting syndicates managed or co-managed by one or more underwriters, or directly to purchasers, on a continuous or delayed basis. We provide more information about how the shares may be offered and sold in the section entitled “Plan of Distribution” beginning on page 9. The prospectus supplement for each offering of our securities will describe in detail the plan of distribution for that offering.</w:t>
      </w:r>
    </w:p>
    <w:p>
      <w:pPr>
        <w:spacing w:after="0" w:line="124" w:lineRule="exact"/>
        <w:rPr>
          <w:sz w:val="20"/>
          <w:szCs w:val="20"/>
          <w:color w:val="auto"/>
        </w:rPr>
      </w:pPr>
    </w:p>
    <w:p>
      <w:pPr>
        <w:ind w:left="1240" w:right="559" w:firstLine="356"/>
        <w:spacing w:after="0" w:line="258" w:lineRule="auto"/>
        <w:rPr>
          <w:sz w:val="20"/>
          <w:szCs w:val="20"/>
          <w:color w:val="auto"/>
        </w:rPr>
      </w:pPr>
      <w:r>
        <w:rPr>
          <w:rFonts w:ascii="Arial" w:cs="Arial" w:eastAsia="Arial" w:hAnsi="Arial"/>
          <w:sz w:val="18"/>
          <w:szCs w:val="18"/>
          <w:color w:val="auto"/>
        </w:rPr>
        <w:t>Our ordinary shares are listed on The NASDAQ Global Select Market (“NASDAQ”) under the symbol “LIVN”. The last reported sale price of our ordinary shares on NASDAQ on July 30, 2021 was $86.30 per share.</w:t>
      </w:r>
    </w:p>
    <w:p>
      <w:pPr>
        <w:spacing w:after="0" w:line="102" w:lineRule="exact"/>
        <w:rPr>
          <w:sz w:val="20"/>
          <w:szCs w:val="20"/>
          <w:color w:val="auto"/>
        </w:rPr>
      </w:pPr>
    </w:p>
    <w:p>
      <w:pPr>
        <w:ind w:left="1240" w:right="499" w:firstLine="35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You should carefully consider the risks identified in the “Risk Factors” section on page </w:t>
      </w:r>
      <w:hyperlink w:anchor="page7">
        <w:r>
          <w:rPr>
            <w:rFonts w:ascii="Arial" w:cs="Arial" w:eastAsia="Arial" w:hAnsi="Arial"/>
            <w:sz w:val="18"/>
            <w:szCs w:val="18"/>
            <w:b w:val="1"/>
            <w:bCs w:val="1"/>
            <w:u w:val="single" w:color="auto"/>
            <w:color w:val="0000EE"/>
          </w:rPr>
          <w:t>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in the documents incorporated by reference in this prospectus and in any applicable prospectus supplement.</w:t>
      </w:r>
    </w:p>
    <w:p>
      <w:pPr>
        <w:spacing w:after="0" w:line="112" w:lineRule="exact"/>
        <w:rPr>
          <w:sz w:val="20"/>
          <w:szCs w:val="20"/>
          <w:color w:val="auto"/>
        </w:rPr>
      </w:pPr>
    </w:p>
    <w:p>
      <w:pPr>
        <w:ind w:left="1240" w:right="539" w:firstLine="356"/>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date of this prospectus is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2144395</wp:posOffset>
            </wp:positionV>
            <wp:extent cx="67525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TABLE OF CONTENTS</w:t>
      </w:r>
    </w:p>
    <w:p>
      <w:pPr>
        <w:spacing w:after="0" w:line="16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5"/>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7"/>
        </w:trPr>
        <w:tc>
          <w:tcPr>
            <w:tcW w:w="17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About This Prospectus</w:t>
              </w:r>
            </w:hyperlink>
          </w:p>
        </w:tc>
        <w:tc>
          <w:tcPr>
            <w:tcW w:w="6100" w:type="dxa"/>
            <w:vAlign w:val="bottom"/>
            <w:tcBorders>
              <w:bottom w:val="single" w:sz="8" w:color="CCEEFF"/>
            </w:tcBorders>
            <w:gridSpan w:val="7"/>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gridSpan w:val="2"/>
            <w:shd w:val="clear" w:color="auto" w:fill="CCEEFF"/>
          </w:tcPr>
          <w:p>
            <w:pPr>
              <w:jc w:val="right"/>
              <w:ind w:righ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r>
      <w:tr>
        <w:trPr>
          <w:trHeight w:val="213"/>
        </w:trPr>
        <w:tc>
          <w:tcPr>
            <w:tcW w:w="7800" w:type="dxa"/>
            <w:vAlign w:val="bottom"/>
            <w:gridSpan w:val="1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Where You Can Find More Information</w:t>
              </w:r>
            </w:hyperlink>
          </w:p>
        </w:tc>
        <w:tc>
          <w:tcPr>
            <w:tcW w:w="140" w:type="dxa"/>
            <w:vAlign w:val="bottom"/>
          </w:tcPr>
          <w:p>
            <w:pPr>
              <w:spacing w:after="0"/>
              <w:rPr>
                <w:sz w:val="18"/>
                <w:szCs w:val="18"/>
                <w:color w:val="auto"/>
              </w:rPr>
            </w:pPr>
          </w:p>
        </w:tc>
        <w:tc>
          <w:tcPr>
            <w:tcW w:w="180" w:type="dxa"/>
            <w:vAlign w:val="bottom"/>
            <w:gridSpan w:val="2"/>
          </w:tcPr>
          <w:p>
            <w:pPr>
              <w:jc w:val="right"/>
              <w:ind w:righ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7800" w:type="dxa"/>
            <w:vAlign w:val="bottom"/>
            <w:gridSpan w:val="14"/>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Incorporation of Certain Documents by Reference</w:t>
              </w:r>
            </w:hyperlink>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gridSpan w:val="2"/>
            <w:shd w:val="clear" w:color="auto" w:fill="CCEEFF"/>
          </w:tcPr>
          <w:p>
            <w:pPr>
              <w:jc w:val="right"/>
              <w:ind w:right="60"/>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78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140" w:type="dxa"/>
            <w:vAlign w:val="bottom"/>
          </w:tcPr>
          <w:p>
            <w:pPr>
              <w:spacing w:after="0"/>
              <w:rPr>
                <w:sz w:val="19"/>
                <w:szCs w:val="19"/>
                <w:color w:val="auto"/>
              </w:rPr>
            </w:pPr>
          </w:p>
        </w:tc>
        <w:tc>
          <w:tcPr>
            <w:tcW w:w="180" w:type="dxa"/>
            <w:vAlign w:val="bottom"/>
            <w:gridSpan w:val="2"/>
          </w:tcPr>
          <w:p>
            <w:pPr>
              <w:jc w:val="right"/>
              <w:ind w:right="60"/>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iii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7800" w:type="dxa"/>
            <w:vAlign w:val="bottom"/>
            <w:gridSpan w:val="14"/>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60" w:type="dxa"/>
            <w:vAlign w:val="bottom"/>
            <w:shd w:val="clear" w:color="auto" w:fill="CCEEFF"/>
          </w:tcPr>
          <w:p>
            <w:pPr>
              <w:spacing w:after="0"/>
              <w:rPr>
                <w:sz w:val="19"/>
                <w:szCs w:val="19"/>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780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6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12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Use of Proceeds</w:t>
              </w:r>
            </w:hyperlink>
          </w:p>
        </w:tc>
        <w:tc>
          <w:tcPr>
            <w:tcW w:w="6580" w:type="dxa"/>
            <w:vAlign w:val="bottom"/>
            <w:tcBorders>
              <w:bottom w:val="single" w:sz="8" w:color="CCEEFF"/>
            </w:tcBorders>
            <w:gridSpan w:val="9"/>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0000EE"/>
            </w:tcBorders>
            <w:shd w:val="clear" w:color="auto" w:fill="CCEEFF"/>
          </w:tcPr>
          <w:p>
            <w:pPr>
              <w:jc w:val="right"/>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7"/>
        </w:trPr>
        <w:tc>
          <w:tcPr>
            <w:tcW w:w="780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Description of Our Ordinary Shares</w:t>
              </w:r>
            </w:hyperlink>
          </w:p>
        </w:tc>
        <w:tc>
          <w:tcPr>
            <w:tcW w:w="26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270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Description of Our Preferred Shares</w:t>
              </w:r>
            </w:hyperlink>
          </w:p>
        </w:tc>
        <w:tc>
          <w:tcPr>
            <w:tcW w:w="5100" w:type="dxa"/>
            <w:vAlign w:val="bottom"/>
            <w:tcBorders>
              <w:bottom w:val="single" w:sz="8" w:color="CCEEFF"/>
            </w:tcBorders>
            <w:gridSpan w:val="4"/>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0000EE"/>
            </w:tcBorders>
            <w:shd w:val="clear" w:color="auto" w:fill="CCEEFF"/>
          </w:tcPr>
          <w:p>
            <w:pPr>
              <w:jc w:val="right"/>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7</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7"/>
        </w:trPr>
        <w:tc>
          <w:tcPr>
            <w:tcW w:w="780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Description of Our Rights</w:t>
              </w:r>
            </w:hyperlink>
          </w:p>
        </w:tc>
        <w:tc>
          <w:tcPr>
            <w:tcW w:w="260" w:type="dxa"/>
            <w:vAlign w:val="bottom"/>
            <w:gridSpan w:val="2"/>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8</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15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Plan of Distribution</w:t>
              </w:r>
            </w:hyperlink>
          </w:p>
        </w:tc>
        <w:tc>
          <w:tcPr>
            <w:tcW w:w="6300" w:type="dxa"/>
            <w:vAlign w:val="bottom"/>
            <w:tcBorders>
              <w:bottom w:val="single" w:sz="8" w:color="CCEEFF"/>
            </w:tcBorders>
            <w:gridSpan w:val="8"/>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0000EE"/>
            </w:tcBorders>
            <w:shd w:val="clear" w:color="auto" w:fill="CCEEFF"/>
          </w:tcPr>
          <w:p>
            <w:pPr>
              <w:jc w:val="right"/>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7"/>
        </w:trPr>
        <w:tc>
          <w:tcPr>
            <w:tcW w:w="780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26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580" w:type="dxa"/>
            <w:vAlign w:val="bottom"/>
            <w:tcBorders>
              <w:bottom w:val="single" w:sz="8" w:color="0000EE"/>
            </w:tcBorders>
            <w:shd w:val="clear" w:color="auto" w:fill="CCEEFF"/>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Experts</w:t>
              </w:r>
            </w:hyperlink>
          </w:p>
        </w:tc>
        <w:tc>
          <w:tcPr>
            <w:tcW w:w="7220" w:type="dxa"/>
            <w:vAlign w:val="bottom"/>
            <w:tcBorders>
              <w:bottom w:val="single" w:sz="8" w:color="CCEEFF"/>
            </w:tcBorders>
            <w:gridSpan w:val="13"/>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0000EE"/>
            </w:tcBorders>
            <w:shd w:val="clear" w:color="auto" w:fill="CCEEFF"/>
          </w:tcPr>
          <w:p>
            <w:pPr>
              <w:jc w:val="right"/>
              <w:spacing w:after="0"/>
              <w:rPr>
                <w:rFonts w:ascii="Arial" w:cs="Arial" w:eastAsia="Arial" w:hAnsi="Arial"/>
                <w:sz w:val="12"/>
                <w:szCs w:val="12"/>
                <w:color w:val="0000EE"/>
                <w:w w:val="74"/>
              </w:rPr>
            </w:pPr>
            <w:hyperlink w:anchor="page15">
              <w:r>
                <w:rPr>
                  <w:rFonts w:ascii="Arial" w:cs="Arial" w:eastAsia="Arial" w:hAnsi="Arial"/>
                  <w:sz w:val="12"/>
                  <w:szCs w:val="12"/>
                  <w:color w:val="0000EE"/>
                  <w:w w:val="74"/>
                </w:rPr>
                <w:t>10</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7"/>
        </w:trPr>
        <w:tc>
          <w:tcPr>
            <w:tcW w:w="780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Enforcement of Judgments</w:t>
              </w:r>
            </w:hyperlink>
          </w:p>
        </w:tc>
        <w:tc>
          <w:tcPr>
            <w:tcW w:w="26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-2338070</wp:posOffset>
            </wp:positionV>
            <wp:extent cx="4947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7920" cy="8255"/>
                    </a:xfrm>
                    <a:prstGeom prst="rect">
                      <a:avLst/>
                    </a:prstGeom>
                    <a:noFill/>
                  </pic:spPr>
                </pic:pic>
              </a:graphicData>
            </a:graphic>
          </wp:anchor>
        </w:drawing>
      </w:r>
    </w:p>
    <w:p>
      <w:pPr>
        <w:spacing w:after="0" w:line="18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ABOUT THIS PROSPECTUS</w:t>
      </w:r>
    </w:p>
    <w:p>
      <w:pPr>
        <w:spacing w:after="0" w:line="157" w:lineRule="exact"/>
        <w:rPr>
          <w:sz w:val="20"/>
          <w:szCs w:val="20"/>
          <w:color w:val="auto"/>
        </w:rPr>
      </w:pPr>
    </w:p>
    <w:p>
      <w:pPr>
        <w:ind w:left="1240" w:right="459" w:firstLine="356"/>
        <w:spacing w:after="0" w:line="248"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(“SEC”), as a “well-known seasoned issuer” as defined in Rule 405 under the Securities Act of 1933, using an automatic shelf registration process. Because we used a shelf registration statement, we may, from time to time, sell the securities described in this prospectus in one or more offerings. Each time that we sell securities, we will provide a prospectus supplement to this prospectus that will contain specific information about the terms of that offering, including the specific amounts, process and terms of the offered securities.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You should read carefully this prospectus, any prospectus supplement and any free writing prospectus related to our securities that is prepared by us or on our behalf or that is otherwise authorized by us, together with additional information described under the headings “Where You Can Find More Information” and “Incorporation of Certain Documents by Reference.”</w:t>
      </w:r>
    </w:p>
    <w:p>
      <w:pPr>
        <w:spacing w:after="0" w:line="123" w:lineRule="exact"/>
        <w:rPr>
          <w:sz w:val="20"/>
          <w:szCs w:val="20"/>
          <w:color w:val="auto"/>
        </w:rPr>
      </w:pPr>
    </w:p>
    <w:p>
      <w:pPr>
        <w:ind w:left="1240" w:right="579" w:firstLine="356"/>
        <w:spacing w:after="0" w:line="237" w:lineRule="auto"/>
        <w:rPr>
          <w:sz w:val="20"/>
          <w:szCs w:val="20"/>
          <w:color w:val="auto"/>
        </w:rPr>
      </w:pPr>
      <w:r>
        <w:rPr>
          <w:rFonts w:ascii="Arial" w:cs="Arial" w:eastAsia="Arial" w:hAnsi="Arial"/>
          <w:sz w:val="18"/>
          <w:szCs w:val="18"/>
          <w:color w:val="auto"/>
        </w:rPr>
        <w:t>We are not making an offer to sell these securities in any jurisdiction where the offer or sale is not permitted. You should only assume that the information appearing in this prospectus and the applicable prospectus supplement to this prospectus is accurate as of the date on its respective cover, and that any information incorporated by reference is accurate as of the date of the document incorporated by reference, unless we indicate otherwise. Our business, financial condition, results of operations and prospects may have changed since those dates.</w:t>
      </w:r>
    </w:p>
    <w:p>
      <w:pPr>
        <w:spacing w:after="0" w:line="108" w:lineRule="exact"/>
        <w:rPr>
          <w:sz w:val="20"/>
          <w:szCs w:val="20"/>
          <w:color w:val="auto"/>
        </w:rPr>
      </w:pPr>
    </w:p>
    <w:p>
      <w:pPr>
        <w:ind w:left="1240" w:right="819" w:firstLine="356"/>
        <w:spacing w:after="0" w:line="254" w:lineRule="auto"/>
        <w:rPr>
          <w:sz w:val="20"/>
          <w:szCs w:val="20"/>
          <w:color w:val="auto"/>
        </w:rPr>
      </w:pPr>
      <w:r>
        <w:rPr>
          <w:rFonts w:ascii="Arial" w:cs="Arial" w:eastAsia="Arial" w:hAnsi="Arial"/>
          <w:sz w:val="18"/>
          <w:szCs w:val="18"/>
          <w:color w:val="auto"/>
        </w:rPr>
        <w:t>References in this prospectus to “we,” “us,” “our,” “the Company” or “LivaNova” are to LivaNova PLC and its consolidated subsidiaries, unless the context indicates otherwise.</w:t>
      </w:r>
    </w:p>
    <w:p>
      <w:pPr>
        <w:spacing w:after="0" w:line="17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7" w:lineRule="exact"/>
        <w:rPr>
          <w:sz w:val="20"/>
          <w:szCs w:val="20"/>
          <w:color w:val="auto"/>
        </w:rPr>
      </w:pPr>
    </w:p>
    <w:p>
      <w:pPr>
        <w:ind w:left="1240" w:right="459" w:firstLine="356"/>
        <w:spacing w:after="0" w:line="274" w:lineRule="auto"/>
        <w:rPr>
          <w:sz w:val="20"/>
          <w:szCs w:val="20"/>
          <w:color w:val="auto"/>
        </w:rPr>
      </w:pPr>
      <w:r>
        <w:rPr>
          <w:rFonts w:ascii="Arial" w:cs="Arial" w:eastAsia="Arial" w:hAnsi="Arial"/>
          <w:sz w:val="16"/>
          <w:szCs w:val="16"/>
          <w:color w:val="auto"/>
        </w:rPr>
        <w:t>We file annual, quarterly and current reports, proxy statements and other information with the Securities and Exchange Commission, which are available to the public at the SEC’s website at http://www.sec.gov and at our investor relations website, https://investor.livanova.com/. Our website and the information contained or connected to our website is not incorporated by reference in this prospectus or any prospectus supplement, and you should not consider it part of this prospectus or any prospectus supplement.</w:t>
      </w:r>
    </w:p>
    <w:p>
      <w:pPr>
        <w:spacing w:after="0" w:line="97" w:lineRule="exact"/>
        <w:rPr>
          <w:sz w:val="20"/>
          <w:szCs w:val="20"/>
          <w:color w:val="auto"/>
        </w:rPr>
      </w:pPr>
    </w:p>
    <w:p>
      <w:pPr>
        <w:ind w:left="1240" w:right="599" w:firstLine="356"/>
        <w:spacing w:after="0" w:line="316" w:lineRule="auto"/>
        <w:rPr>
          <w:sz w:val="20"/>
          <w:szCs w:val="20"/>
          <w:color w:val="auto"/>
        </w:rPr>
      </w:pPr>
      <w:r>
        <w:rPr>
          <w:rFonts w:ascii="Arial" w:cs="Arial" w:eastAsia="Arial" w:hAnsi="Arial"/>
          <w:sz w:val="16"/>
          <w:szCs w:val="16"/>
          <w:color w:val="auto"/>
        </w:rPr>
        <w:t>This prospectus is part of a registration statement on Form S-3 that we filed with the SEC. This prospectus does not contain all the information in the registration statement. Whenever a reference is made</w:t>
      </w:r>
    </w:p>
    <w:p>
      <w:pPr>
        <w:spacing w:after="0" w:line="3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79"/>
        <w:spacing w:after="0" w:line="281" w:lineRule="auto"/>
        <w:rPr>
          <w:sz w:val="20"/>
          <w:szCs w:val="20"/>
          <w:color w:val="auto"/>
        </w:rPr>
      </w:pPr>
      <w:r>
        <w:rPr>
          <w:rFonts w:ascii="Arial" w:cs="Arial" w:eastAsia="Arial" w:hAnsi="Arial"/>
          <w:sz w:val="17"/>
          <w:szCs w:val="17"/>
          <w:color w:val="auto"/>
        </w:rPr>
        <w:t>in this prospectus to a contract or other document of the Company, the reference is only a summary, and you should refer to the exhibits that are a part of the registration statement for a copy of the contract or other document. You may review a copy of the registration statement at the SEC’s website.</w:t>
      </w:r>
    </w:p>
    <w:p>
      <w:pPr>
        <w:spacing w:after="0" w:line="16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4" w:lineRule="exact"/>
        <w:rPr>
          <w:sz w:val="20"/>
          <w:szCs w:val="20"/>
          <w:color w:val="auto"/>
        </w:rPr>
      </w:pPr>
    </w:p>
    <w:p>
      <w:pPr>
        <w:ind w:left="1240" w:right="479" w:firstLine="356"/>
        <w:spacing w:after="0" w:line="251" w:lineRule="auto"/>
        <w:rPr>
          <w:sz w:val="20"/>
          <w:szCs w:val="20"/>
          <w:color w:val="auto"/>
        </w:rPr>
      </w:pPr>
      <w:r>
        <w:rPr>
          <w:rFonts w:ascii="Arial" w:cs="Arial" w:eastAsia="Arial" w:hAnsi="Arial"/>
          <w:sz w:val="18"/>
          <w:szCs w:val="18"/>
          <w:color w:val="auto"/>
        </w:rPr>
        <w:t>The SEC allows us to incorporate by reference in this prospectus the information we file with it, which means that we can disclose important information to you by referring you to those documents. The information incorporated by reference is considered to be part of this prospectus, and information filed subsequently with the SEC will automatically update and supersede it. Therefore, before you decide to invest in a particular offering under this shelf registration, you should always check for reports we may have filed with the SEC after the date of this prospectus. We incorporate by reference in this prospectus the following information:</w:t>
      </w:r>
    </w:p>
    <w:p>
      <w:pPr>
        <w:spacing w:after="0" w:line="86" w:lineRule="exact"/>
        <w:rPr>
          <w:sz w:val="20"/>
          <w:szCs w:val="20"/>
          <w:color w:val="auto"/>
        </w:rPr>
      </w:pPr>
    </w:p>
    <w:p>
      <w:pPr>
        <w:ind w:left="1780" w:right="959" w:hanging="176"/>
        <w:spacing w:after="0" w:line="270" w:lineRule="auto"/>
        <w:tabs>
          <w:tab w:leader="none" w:pos="1780" w:val="left"/>
        </w:tabs>
        <w:numPr>
          <w:ilvl w:val="0"/>
          <w:numId w:val="2"/>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our Annual Report on Form 10-K for the year ended December 31, 2020 filed with the SEC on</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March 1, 2021;</w:t>
        </w:r>
      </w:hyperlink>
    </w:p>
    <w:p>
      <w:pPr>
        <w:spacing w:after="0" w:line="67" w:lineRule="exact"/>
        <w:rPr>
          <w:rFonts w:ascii="Arial" w:cs="Arial" w:eastAsia="Arial" w:hAnsi="Arial"/>
          <w:sz w:val="18"/>
          <w:szCs w:val="18"/>
          <w:u w:val="single" w:color="auto"/>
          <w:color w:val="0000EE"/>
        </w:rPr>
      </w:pPr>
    </w:p>
    <w:p>
      <w:pPr>
        <w:ind w:left="1780" w:right="719" w:hanging="176"/>
        <w:spacing w:after="0" w:line="258" w:lineRule="auto"/>
        <w:tabs>
          <w:tab w:leader="none" w:pos="1780" w:val="left"/>
        </w:tabs>
        <w:numPr>
          <w:ilvl w:val="0"/>
          <w:numId w:val="2"/>
        </w:numPr>
        <w:rPr>
          <w:rFonts w:ascii="Arial" w:cs="Arial" w:eastAsia="Arial" w:hAnsi="Arial"/>
          <w:sz w:val="18"/>
          <w:szCs w:val="18"/>
          <w:color w:val="0000EE"/>
        </w:rPr>
      </w:pPr>
      <w:hyperlink r:id="rId18">
        <w:r>
          <w:rPr>
            <w:rFonts w:ascii="Arial" w:cs="Arial" w:eastAsia="Arial" w:hAnsi="Arial"/>
            <w:sz w:val="18"/>
            <w:szCs w:val="18"/>
            <w:color w:val="auto"/>
          </w:rPr>
          <w:t xml:space="preserve">the description of our ordinary shares included as </w:t>
        </w:r>
        <w:r>
          <w:rPr>
            <w:rFonts w:ascii="Arial" w:cs="Arial" w:eastAsia="Arial" w:hAnsi="Arial"/>
            <w:sz w:val="18"/>
            <w:szCs w:val="18"/>
            <w:u w:val="single" w:color="auto"/>
            <w:color w:val="0000EE"/>
          </w:rPr>
          <w:t>Exhibit 4.1 of our Annual Report on Form 10-K</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for the year ended December 31, 2020 filed with the SEC on March 1, 2021</w:t>
        </w:r>
        <w:r>
          <w:rPr>
            <w:rFonts w:ascii="Arial" w:cs="Arial" w:eastAsia="Arial" w:hAnsi="Arial"/>
            <w:sz w:val="18"/>
            <w:szCs w:val="18"/>
            <w:color w:val="000000"/>
          </w:rPr>
          <w:t>, including any</w:t>
        </w:r>
      </w:hyperlink>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this description;</w:t>
      </w:r>
    </w:p>
    <w:p>
      <w:pPr>
        <w:spacing w:after="0" w:line="79" w:lineRule="exact"/>
        <w:rPr>
          <w:rFonts w:ascii="Arial" w:cs="Arial" w:eastAsia="Arial" w:hAnsi="Arial"/>
          <w:sz w:val="18"/>
          <w:szCs w:val="18"/>
          <w:color w:val="0000EE"/>
        </w:rPr>
      </w:pPr>
    </w:p>
    <w:p>
      <w:pPr>
        <w:ind w:left="1780" w:right="739" w:hanging="176"/>
        <w:spacing w:after="0" w:line="300" w:lineRule="auto"/>
        <w:tabs>
          <w:tab w:leader="none" w:pos="1780" w:val="left"/>
        </w:tabs>
        <w:numPr>
          <w:ilvl w:val="0"/>
          <w:numId w:val="2"/>
        </w:numPr>
        <w:rPr>
          <w:rFonts w:ascii="Arial" w:cs="Arial" w:eastAsia="Arial" w:hAnsi="Arial"/>
          <w:sz w:val="17"/>
          <w:szCs w:val="17"/>
          <w:color w:val="0000EE"/>
        </w:rPr>
      </w:pPr>
      <w:hyperlink r:id="rId19">
        <w:r>
          <w:rPr>
            <w:rFonts w:ascii="Arial" w:cs="Arial" w:eastAsia="Arial" w:hAnsi="Arial"/>
            <w:sz w:val="17"/>
            <w:szCs w:val="17"/>
            <w:color w:val="auto"/>
          </w:rPr>
          <w:t xml:space="preserve">our Quarterly Reports on </w:t>
        </w:r>
        <w:r>
          <w:rPr>
            <w:rFonts w:ascii="Arial" w:cs="Arial" w:eastAsia="Arial" w:hAnsi="Arial"/>
            <w:sz w:val="17"/>
            <w:szCs w:val="17"/>
            <w:u w:val="single" w:color="auto"/>
            <w:color w:val="0000EE"/>
          </w:rPr>
          <w:t>Form 10-Q for the quarter ended March 31, 2021, filed with the SEC on</w:t>
        </w:r>
      </w:hyperlink>
      <w:r>
        <w:rPr>
          <w:rFonts w:ascii="Arial" w:cs="Arial" w:eastAsia="Arial" w:hAnsi="Arial"/>
          <w:sz w:val="17"/>
          <w:szCs w:val="17"/>
          <w:color w:val="auto"/>
        </w:rPr>
        <w:t xml:space="preserve"> </w:t>
      </w:r>
      <w:hyperlink r:id="rId19">
        <w:r>
          <w:rPr>
            <w:rFonts w:ascii="Arial" w:cs="Arial" w:eastAsia="Arial" w:hAnsi="Arial"/>
            <w:sz w:val="17"/>
            <w:szCs w:val="17"/>
            <w:u w:val="single" w:color="auto"/>
            <w:color w:val="0000EE"/>
          </w:rPr>
          <w:t>April 28, 2021</w:t>
        </w:r>
        <w:r>
          <w:rPr>
            <w:rFonts w:ascii="Arial" w:cs="Arial" w:eastAsia="Arial" w:hAnsi="Arial"/>
            <w:sz w:val="17"/>
            <w:szCs w:val="17"/>
            <w:color w:val="000000"/>
          </w:rPr>
          <w:t>, and the</w:t>
        </w:r>
        <w:r>
          <w:rPr>
            <w:rFonts w:ascii="Arial" w:cs="Arial" w:eastAsia="Arial" w:hAnsi="Arial"/>
            <w:sz w:val="17"/>
            <w:szCs w:val="17"/>
            <w:color w:val="0000EE"/>
          </w:rPr>
          <w:t xml:space="preserve"> </w:t>
        </w:r>
      </w:hyperlink>
      <w:hyperlink r:id="rId20">
        <w:r>
          <w:rPr>
            <w:rFonts w:ascii="Arial" w:cs="Arial" w:eastAsia="Arial" w:hAnsi="Arial"/>
            <w:sz w:val="17"/>
            <w:szCs w:val="17"/>
            <w:u w:val="single" w:color="auto"/>
            <w:color w:val="0000EE"/>
          </w:rPr>
          <w:t>quarter ended June 30, 2021, filed with the SEC on July 28, 2021;</w:t>
        </w:r>
      </w:hyperlink>
    </w:p>
    <w:p>
      <w:pPr>
        <w:spacing w:after="0" w:line="45" w:lineRule="exact"/>
        <w:rPr>
          <w:rFonts w:ascii="Arial" w:cs="Arial" w:eastAsia="Arial" w:hAnsi="Arial"/>
          <w:sz w:val="17"/>
          <w:szCs w:val="17"/>
          <w:color w:val="0000EE"/>
        </w:rPr>
      </w:pPr>
    </w:p>
    <w:p>
      <w:pPr>
        <w:ind w:left="1780" w:right="639" w:hanging="176"/>
        <w:spacing w:after="0" w:line="270"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Reports on Form 8-K dated February 24, 2021 (filed </w:t>
      </w:r>
      <w:hyperlink r:id="rId21">
        <w:r>
          <w:rPr>
            <w:rFonts w:ascii="Arial" w:cs="Arial" w:eastAsia="Arial" w:hAnsi="Arial"/>
            <w:sz w:val="18"/>
            <w:szCs w:val="18"/>
            <w:u w:val="single" w:color="auto"/>
            <w:color w:val="0000EE"/>
          </w:rPr>
          <w:t>February 25, 2021</w:t>
        </w:r>
      </w:hyperlink>
      <w:r>
        <w:rPr>
          <w:rFonts w:ascii="Arial" w:cs="Arial" w:eastAsia="Arial" w:hAnsi="Arial"/>
          <w:sz w:val="18"/>
          <w:szCs w:val="18"/>
          <w:color w:val="auto"/>
        </w:rPr>
        <w:t xml:space="preserve">), April 9, 2021 (filed </w:t>
      </w:r>
      <w:hyperlink r:id="rId22">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and June 9, 2021 (filed </w:t>
      </w:r>
      <w:hyperlink r:id="rId23">
        <w:r>
          <w:rPr>
            <w:rFonts w:ascii="Arial" w:cs="Arial" w:eastAsia="Arial" w:hAnsi="Arial"/>
            <w:sz w:val="18"/>
            <w:szCs w:val="18"/>
            <w:u w:val="single" w:color="auto"/>
            <w:color w:val="0000EE"/>
          </w:rPr>
          <w:t>June 10, 2021</w:t>
        </w:r>
      </w:hyperlink>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1780" w:right="839" w:hanging="176"/>
        <w:spacing w:after="0" w:line="270" w:lineRule="auto"/>
        <w:tabs>
          <w:tab w:leader="none" w:pos="1780" w:val="left"/>
        </w:tabs>
        <w:numPr>
          <w:ilvl w:val="0"/>
          <w:numId w:val="2"/>
        </w:numPr>
        <w:rPr>
          <w:rFonts w:ascii="Arial" w:cs="Arial" w:eastAsia="Arial" w:hAnsi="Arial"/>
          <w:sz w:val="18"/>
          <w:szCs w:val="18"/>
          <w:color w:val="0000EE"/>
        </w:rPr>
      </w:pPr>
      <w:hyperlink r:id="rId24">
        <w:r>
          <w:rPr>
            <w:rFonts w:ascii="Arial" w:cs="Arial" w:eastAsia="Arial" w:hAnsi="Arial"/>
            <w:sz w:val="18"/>
            <w:szCs w:val="18"/>
            <w:color w:val="auto"/>
          </w:rPr>
          <w:t xml:space="preserve">our definitive proxy statement on </w:t>
        </w:r>
        <w:r>
          <w:rPr>
            <w:rFonts w:ascii="Arial" w:cs="Arial" w:eastAsia="Arial" w:hAnsi="Arial"/>
            <w:sz w:val="18"/>
            <w:szCs w:val="18"/>
            <w:u w:val="single" w:color="auto"/>
            <w:color w:val="0000EE"/>
          </w:rPr>
          <w:t>Schedule 14A for our annual meeting of shareholders, filed on</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April 30, 2021</w:t>
        </w:r>
        <w:r>
          <w:rPr>
            <w:rFonts w:ascii="Arial" w:cs="Arial" w:eastAsia="Arial" w:hAnsi="Arial"/>
            <w:sz w:val="18"/>
            <w:szCs w:val="18"/>
            <w:color w:val="0000EE"/>
          </w:rPr>
          <w:t xml:space="preserve"> </w:t>
        </w:r>
        <w:r>
          <w:rPr>
            <w:rFonts w:ascii="Arial" w:cs="Arial" w:eastAsia="Arial" w:hAnsi="Arial"/>
            <w:sz w:val="18"/>
            <w:szCs w:val="18"/>
            <w:color w:val="000000"/>
          </w:rPr>
          <w:t>to the extent incorporated by reference in Part III of the Form 10-K.</w:t>
        </w:r>
      </w:hyperlink>
    </w:p>
    <w:p>
      <w:pPr>
        <w:spacing w:after="0" w:line="108" w:lineRule="exact"/>
        <w:rPr>
          <w:rFonts w:ascii="Arial" w:cs="Arial" w:eastAsia="Arial" w:hAnsi="Arial"/>
          <w:sz w:val="18"/>
          <w:szCs w:val="18"/>
          <w:color w:val="auto"/>
        </w:rPr>
      </w:pPr>
    </w:p>
    <w:p>
      <w:pPr>
        <w:ind w:left="1240" w:right="479" w:firstLine="356"/>
        <w:spacing w:after="0" w:line="253" w:lineRule="auto"/>
        <w:rPr>
          <w:sz w:val="20"/>
          <w:szCs w:val="20"/>
          <w:color w:val="auto"/>
        </w:rPr>
      </w:pPr>
      <w:r>
        <w:rPr>
          <w:rFonts w:ascii="Arial" w:cs="Arial" w:eastAsia="Arial" w:hAnsi="Arial"/>
          <w:sz w:val="18"/>
          <w:szCs w:val="18"/>
          <w:color w:val="auto"/>
        </w:rPr>
        <w:t>We also incorporate by reference each of the documents that we file with the SEC under Sections 13(a), 13(c), 14 or 15(d) of the Securities Exchange Act of 1934 (not including any information “furnished” under Item 2.02, 7.01 or 9.01 of Form 8-K and any other information that is identified as “furnished” rather than “filed”, which information is not incorporated by reference herein) prior to the termination of the offerings under this prospectus and any prospectus supplement.</w:t>
      </w:r>
    </w:p>
    <w:p>
      <w:pPr>
        <w:spacing w:after="0" w:line="123" w:lineRule="exact"/>
        <w:rPr>
          <w:rFonts w:ascii="Arial" w:cs="Arial" w:eastAsia="Arial" w:hAnsi="Arial"/>
          <w:sz w:val="18"/>
          <w:szCs w:val="18"/>
          <w:color w:val="auto"/>
        </w:rPr>
      </w:pPr>
    </w:p>
    <w:p>
      <w:pPr>
        <w:ind w:left="1240" w:right="499" w:firstLine="356"/>
        <w:spacing w:after="0" w:line="251" w:lineRule="auto"/>
        <w:rPr>
          <w:sz w:val="20"/>
          <w:szCs w:val="20"/>
          <w:color w:val="auto"/>
        </w:rPr>
      </w:pPr>
      <w:r>
        <w:rPr>
          <w:rFonts w:ascii="Arial" w:cs="Arial" w:eastAsia="Arial" w:hAnsi="Arial"/>
          <w:sz w:val="18"/>
          <w:szCs w:val="18"/>
          <w:color w:val="auto"/>
        </w:rPr>
        <w:t>Any statements made in this prospectus or in a document incorporated or deemed to be incorporated by reference in this prospectus will be deemed to be modified or superseded for purposes of this prospectus to the extent that a statement contained in this prospectus, the accompanying prospectus supplement, if applicable, or in any other subsequently filed document that is also incorporated or deemed to be incorporated by reference in this prospectus modifies or supersedes the statement. Any statement so modified or superseded will not be deemed, except as so modified or superseded, to constitute a part of this prospectus.</w:t>
      </w:r>
    </w:p>
    <w:p>
      <w:pPr>
        <w:spacing w:after="0" w:line="113" w:lineRule="exact"/>
        <w:rPr>
          <w:rFonts w:ascii="Arial" w:cs="Arial" w:eastAsia="Arial" w:hAnsi="Arial"/>
          <w:sz w:val="18"/>
          <w:szCs w:val="18"/>
          <w:color w:val="auto"/>
        </w:rPr>
      </w:pPr>
    </w:p>
    <w:p>
      <w:pPr>
        <w:jc w:val="both"/>
        <w:ind w:left="1240" w:right="479" w:firstLine="356"/>
        <w:spacing w:after="0" w:line="255" w:lineRule="auto"/>
        <w:rPr>
          <w:sz w:val="20"/>
          <w:szCs w:val="20"/>
          <w:color w:val="auto"/>
        </w:rPr>
      </w:pPr>
      <w:r>
        <w:rPr>
          <w:rFonts w:ascii="Arial" w:cs="Arial" w:eastAsia="Arial" w:hAnsi="Arial"/>
          <w:sz w:val="18"/>
          <w:szCs w:val="18"/>
          <w:color w:val="auto"/>
        </w:rPr>
        <w:t>Each person, including any beneficial owner, to whom a prospectus is delivered, may obtain a copy of any document that is incorporated by reference in this prospectus from the SEC, through the SEC’s website at the address set forth under “About this Prospectus,” or, without charge, by written or oral request directed to:</w:t>
      </w:r>
    </w:p>
    <w:p>
      <w:pPr>
        <w:spacing w:after="0" w:line="121" w:lineRule="exact"/>
        <w:rPr>
          <w:rFonts w:ascii="Arial" w:cs="Arial" w:eastAsia="Arial" w:hAnsi="Arial"/>
          <w:sz w:val="18"/>
          <w:szCs w:val="18"/>
          <w:color w:val="auto"/>
        </w:rPr>
      </w:pPr>
    </w:p>
    <w:p>
      <w:pPr>
        <w:jc w:val="center"/>
        <w:ind w:right="-740"/>
        <w:spacing w:after="0"/>
        <w:rPr>
          <w:sz w:val="20"/>
          <w:szCs w:val="20"/>
          <w:color w:val="auto"/>
        </w:rPr>
      </w:pPr>
      <w:r>
        <w:rPr>
          <w:rFonts w:ascii="Arial" w:cs="Arial" w:eastAsia="Arial" w:hAnsi="Arial"/>
          <w:sz w:val="18"/>
          <w:szCs w:val="18"/>
          <w:color w:val="auto"/>
        </w:rPr>
        <w:t>LivaNova PLC</w:t>
      </w:r>
    </w:p>
    <w:p>
      <w:pPr>
        <w:spacing w:after="0" w:line="19" w:lineRule="exact"/>
        <w:rPr>
          <w:rFonts w:ascii="Arial" w:cs="Arial" w:eastAsia="Arial" w:hAnsi="Arial"/>
          <w:sz w:val="18"/>
          <w:szCs w:val="18"/>
          <w:color w:val="auto"/>
        </w:rPr>
      </w:pPr>
    </w:p>
    <w:p>
      <w:pPr>
        <w:jc w:val="center"/>
        <w:ind w:right="-780"/>
        <w:spacing w:after="0"/>
        <w:rPr>
          <w:sz w:val="20"/>
          <w:szCs w:val="20"/>
          <w:color w:val="auto"/>
        </w:rPr>
      </w:pPr>
      <w:r>
        <w:rPr>
          <w:rFonts w:ascii="Arial" w:cs="Arial" w:eastAsia="Arial" w:hAnsi="Arial"/>
          <w:sz w:val="18"/>
          <w:szCs w:val="18"/>
          <w:color w:val="auto"/>
        </w:rPr>
        <w:t>Attention: Investor Relations</w:t>
      </w:r>
    </w:p>
    <w:p>
      <w:pPr>
        <w:spacing w:after="0" w:line="84" w:lineRule="exact"/>
        <w:rPr>
          <w:rFonts w:ascii="Arial" w:cs="Arial" w:eastAsia="Arial" w:hAnsi="Arial"/>
          <w:sz w:val="18"/>
          <w:szCs w:val="18"/>
          <w:color w:val="auto"/>
        </w:rPr>
      </w:pPr>
    </w:p>
    <w:p>
      <w:pPr>
        <w:ind w:left="4960"/>
        <w:spacing w:after="0"/>
        <w:rPr>
          <w:sz w:val="20"/>
          <w:szCs w:val="20"/>
          <w:color w:val="auto"/>
        </w:rPr>
      </w:pPr>
      <w:r>
        <w:rPr>
          <w:rFonts w:ascii="Arial" w:cs="Arial" w:eastAsia="Arial" w:hAnsi="Arial"/>
          <w:sz w:val="18"/>
          <w:szCs w:val="18"/>
          <w:color w:val="auto"/>
        </w:rPr>
        <w:t>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4440"/>
        <w:spacing w:after="0"/>
        <w:rPr>
          <w:sz w:val="20"/>
          <w:szCs w:val="20"/>
          <w:color w:val="auto"/>
        </w:rPr>
      </w:pPr>
      <w:r>
        <w:rPr>
          <w:rFonts w:ascii="Arial" w:cs="Arial" w:eastAsia="Arial" w:hAnsi="Arial"/>
          <w:sz w:val="18"/>
          <w:szCs w:val="18"/>
          <w:color w:val="auto"/>
        </w:rPr>
        <w:t>20 Eastbourne Terrace</w:t>
      </w:r>
    </w:p>
    <w:p>
      <w:pPr>
        <w:spacing w:after="0" w:line="3" w:lineRule="exact"/>
        <w:rPr>
          <w:rFonts w:ascii="Arial" w:cs="Arial" w:eastAsia="Arial" w:hAnsi="Arial"/>
          <w:sz w:val="18"/>
          <w:szCs w:val="18"/>
          <w:color w:val="auto"/>
        </w:rPr>
      </w:pPr>
    </w:p>
    <w:p>
      <w:pPr>
        <w:ind w:left="3940"/>
        <w:spacing w:after="0"/>
        <w:rPr>
          <w:sz w:val="20"/>
          <w:szCs w:val="20"/>
          <w:color w:val="auto"/>
        </w:rPr>
      </w:pPr>
      <w:r>
        <w:rPr>
          <w:rFonts w:ascii="Arial" w:cs="Arial" w:eastAsia="Arial" w:hAnsi="Arial"/>
          <w:sz w:val="18"/>
          <w:szCs w:val="18"/>
          <w:color w:val="auto"/>
        </w:rPr>
        <w:t>London, United Kingdom, W2 6LG</w:t>
      </w:r>
    </w:p>
    <w:p>
      <w:pPr>
        <w:spacing w:after="0" w:line="6" w:lineRule="exact"/>
        <w:rPr>
          <w:rFonts w:ascii="Arial" w:cs="Arial" w:eastAsia="Arial" w:hAnsi="Arial"/>
          <w:sz w:val="18"/>
          <w:szCs w:val="18"/>
          <w:color w:val="auto"/>
        </w:rPr>
      </w:pPr>
    </w:p>
    <w:p>
      <w:pPr>
        <w:ind w:left="4880" w:hanging="360"/>
        <w:spacing w:after="0"/>
        <w:tabs>
          <w:tab w:leader="none" w:pos="4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 20 325-0660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4" w:lineRule="exact"/>
        <w:rPr>
          <w:sz w:val="20"/>
          <w:szCs w:val="20"/>
          <w:color w:val="auto"/>
        </w:rPr>
      </w:pPr>
    </w:p>
    <w:p>
      <w:pPr>
        <w:ind w:left="1240" w:right="479" w:firstLine="356"/>
        <w:spacing w:after="0" w:line="247" w:lineRule="auto"/>
        <w:rPr>
          <w:sz w:val="20"/>
          <w:szCs w:val="20"/>
          <w:color w:val="auto"/>
        </w:rPr>
      </w:pPr>
      <w:r>
        <w:rPr>
          <w:rFonts w:ascii="Arial" w:cs="Arial" w:eastAsia="Arial" w:hAnsi="Arial"/>
          <w:sz w:val="17"/>
          <w:szCs w:val="17"/>
          <w:color w:val="auto"/>
        </w:rPr>
        <w:t>Certain statements made in this prospectus, any prospectus supplement and the documents incorporated by reference herein are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statements relating to LivaNova’s plans, objectives, strategies, financial performance and outlook, trends,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prospectus, any prospectus supplement or the documents incorporated by reference herein. Such risks, uncertainties and other important factors include, but are not limited to the risks and uncertainties summarized below:</w:t>
      </w:r>
    </w:p>
    <w:p>
      <w:pPr>
        <w:spacing w:after="0" w:line="86" w:lineRule="exact"/>
        <w:rPr>
          <w:sz w:val="20"/>
          <w:szCs w:val="20"/>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ordinary share price;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3" w:lineRule="exact"/>
        <w:rPr>
          <w:rFonts w:ascii="Arial" w:cs="Arial" w:eastAsia="Arial" w:hAnsi="Arial"/>
          <w:sz w:val="18"/>
          <w:szCs w:val="18"/>
          <w:color w:val="auto"/>
        </w:rPr>
      </w:pPr>
    </w:p>
    <w:p>
      <w:pPr>
        <w:ind w:left="1780" w:right="55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99"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3" w:lineRule="exact"/>
        <w:rPr>
          <w:rFonts w:ascii="Arial" w:cs="Arial" w:eastAsia="Arial" w:hAnsi="Arial"/>
          <w:sz w:val="18"/>
          <w:szCs w:val="18"/>
          <w:color w:val="auto"/>
        </w:rPr>
      </w:pPr>
    </w:p>
    <w:p>
      <w:pPr>
        <w:ind w:left="1780" w:right="1179" w:hanging="176"/>
        <w:spacing w:after="0" w:line="258"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79" w:lineRule="exact"/>
        <w:rPr>
          <w:rFonts w:ascii="Arial" w:cs="Arial" w:eastAsia="Arial" w:hAnsi="Arial"/>
          <w:sz w:val="18"/>
          <w:szCs w:val="18"/>
          <w:color w:val="auto"/>
        </w:rPr>
      </w:pPr>
    </w:p>
    <w:p>
      <w:pPr>
        <w:ind w:left="1780" w:right="71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67" w:lineRule="exact"/>
        <w:rPr>
          <w:rFonts w:ascii="Arial" w:cs="Arial" w:eastAsia="Arial" w:hAnsi="Arial"/>
          <w:sz w:val="18"/>
          <w:szCs w:val="18"/>
          <w:color w:val="auto"/>
        </w:rPr>
      </w:pPr>
    </w:p>
    <w:p>
      <w:pPr>
        <w:ind w:left="1780" w:right="579" w:hanging="176"/>
        <w:spacing w:after="0" w:line="271" w:lineRule="auto"/>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0" w:lineRule="exact"/>
        <w:rPr>
          <w:rFonts w:ascii="Arial" w:cs="Arial" w:eastAsia="Arial" w:hAnsi="Arial"/>
          <w:sz w:val="17"/>
          <w:szCs w:val="17"/>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obtain or maintain coverage and reimbursement for our products’ approved indications;</w:t>
      </w:r>
    </w:p>
    <w:p>
      <w:pPr>
        <w:spacing w:after="0" w:line="124" w:lineRule="exact"/>
        <w:rPr>
          <w:rFonts w:ascii="Arial" w:cs="Arial" w:eastAsia="Arial" w:hAnsi="Arial"/>
          <w:sz w:val="17"/>
          <w:szCs w:val="17"/>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3" w:lineRule="exact"/>
        <w:rPr>
          <w:rFonts w:ascii="Arial" w:cs="Arial" w:eastAsia="Arial" w:hAnsi="Arial"/>
          <w:sz w:val="18"/>
          <w:szCs w:val="18"/>
          <w:color w:val="auto"/>
        </w:rPr>
      </w:pPr>
    </w:p>
    <w:p>
      <w:pPr>
        <w:ind w:left="1780" w:right="51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7" w:lineRule="exact"/>
        <w:rPr>
          <w:rFonts w:ascii="Arial" w:cs="Arial" w:eastAsia="Arial" w:hAnsi="Arial"/>
          <w:sz w:val="18"/>
          <w:szCs w:val="18"/>
          <w:color w:val="auto"/>
        </w:rPr>
      </w:pPr>
    </w:p>
    <w:p>
      <w:pPr>
        <w:ind w:left="1780" w:right="75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intellectual property, shareholder-related, environmental-related, income tax and other litigation, disputes, losses and costs;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right="479" w:hanging="176"/>
        <w:spacing w:after="0" w:line="270"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54" w:lineRule="exact"/>
        <w:rPr>
          <w:rFonts w:ascii="Arial" w:cs="Arial" w:eastAsia="Arial" w:hAnsi="Arial"/>
          <w:sz w:val="18"/>
          <w:szCs w:val="18"/>
          <w:color w:val="auto"/>
        </w:rPr>
      </w:pPr>
    </w:p>
    <w:p>
      <w:pPr>
        <w:ind w:left="1780" w:right="619" w:hanging="176"/>
        <w:spacing w:after="0" w:line="270"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99" w:lineRule="exact"/>
        <w:rPr>
          <w:rFonts w:ascii="Arial" w:cs="Arial" w:eastAsia="Arial" w:hAnsi="Arial"/>
          <w:sz w:val="18"/>
          <w:szCs w:val="18"/>
          <w:color w:val="auto"/>
        </w:rPr>
      </w:pPr>
    </w:p>
    <w:p>
      <w:pPr>
        <w:ind w:left="1780" w:right="599" w:hanging="176"/>
        <w:spacing w:after="0" w:line="270"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99"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new acquisitions to further our strategic objectives or strengthen our existing businesses;</w:t>
      </w:r>
    </w:p>
    <w:p>
      <w:pPr>
        <w:spacing w:after="0" w:line="111" w:lineRule="exact"/>
        <w:rPr>
          <w:rFonts w:ascii="Arial" w:cs="Arial" w:eastAsia="Arial" w:hAnsi="Arial"/>
          <w:sz w:val="17"/>
          <w:szCs w:val="17"/>
          <w:color w:val="auto"/>
        </w:rPr>
      </w:pPr>
    </w:p>
    <w:p>
      <w:pPr>
        <w:ind w:left="1780" w:right="819" w:hanging="176"/>
        <w:spacing w:after="0" w:line="258"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amount of liability or damages imposed by the Appeals Court or the Supreme Court of Italy with respect to SNIA S.p.A;</w:t>
      </w:r>
    </w:p>
    <w:p>
      <w:pPr>
        <w:spacing w:after="0" w:line="79" w:lineRule="exact"/>
        <w:rPr>
          <w:rFonts w:ascii="Arial" w:cs="Arial" w:eastAsia="Arial" w:hAnsi="Arial"/>
          <w:sz w:val="18"/>
          <w:szCs w:val="18"/>
          <w:color w:val="auto"/>
        </w:rPr>
      </w:pPr>
    </w:p>
    <w:p>
      <w:pPr>
        <w:ind w:left="1780" w:right="699" w:hanging="176"/>
        <w:spacing w:after="0" w:line="270"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rules that adversely affect the characterization of our consolidated financial position, results of operations or cash flows;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99" w:lineRule="exact"/>
        <w:rPr>
          <w:rFonts w:ascii="Arial" w:cs="Arial" w:eastAsia="Arial" w:hAnsi="Arial"/>
          <w:sz w:val="18"/>
          <w:szCs w:val="18"/>
          <w:color w:val="auto"/>
        </w:rPr>
      </w:pPr>
    </w:p>
    <w:p>
      <w:pPr>
        <w:jc w:val="both"/>
        <w:ind w:left="1780" w:right="759" w:hanging="176"/>
        <w:spacing w:after="0" w:line="258"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UK’s withdrawal from the European Union (“Brexit”) and/or changes to existing trade agreements and relationships between the U.S. and other countries;</w:t>
      </w:r>
    </w:p>
    <w:p>
      <w:pPr>
        <w:spacing w:after="0" w:line="79"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outbreak and spread of the COVID-19 pandemic around the world;</w:t>
      </w:r>
    </w:p>
    <w:p>
      <w:pPr>
        <w:spacing w:after="0" w:line="99" w:lineRule="exact"/>
        <w:rPr>
          <w:rFonts w:ascii="Arial" w:cs="Arial" w:eastAsia="Arial" w:hAnsi="Arial"/>
          <w:sz w:val="18"/>
          <w:szCs w:val="18"/>
          <w:color w:val="auto"/>
        </w:rPr>
      </w:pPr>
    </w:p>
    <w:p>
      <w:pPr>
        <w:ind w:left="1780" w:right="1059" w:hanging="176"/>
        <w:spacing w:after="0" w:line="270"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67" w:lineRule="exact"/>
        <w:rPr>
          <w:rFonts w:ascii="Arial" w:cs="Arial" w:eastAsia="Arial" w:hAnsi="Arial"/>
          <w:sz w:val="18"/>
          <w:szCs w:val="18"/>
          <w:color w:val="auto"/>
        </w:rPr>
      </w:pPr>
    </w:p>
    <w:p>
      <w:pPr>
        <w:ind w:left="1780" w:right="539" w:hanging="176"/>
        <w:spacing w:after="0" w:line="270"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40" w:lineRule="exact"/>
        <w:rPr>
          <w:sz w:val="20"/>
          <w:szCs w:val="20"/>
          <w:color w:val="auto"/>
        </w:rPr>
      </w:pPr>
    </w:p>
    <w:p>
      <w:pPr>
        <w:jc w:val="both"/>
        <w:ind w:left="1240" w:right="519" w:firstLine="356"/>
        <w:spacing w:after="0" w:line="264" w:lineRule="auto"/>
        <w:rPr>
          <w:sz w:val="20"/>
          <w:szCs w:val="20"/>
          <w:color w:val="auto"/>
        </w:rPr>
      </w:pPr>
      <w:r>
        <w:rPr>
          <w:rFonts w:ascii="Arial" w:cs="Arial" w:eastAsia="Arial" w:hAnsi="Arial"/>
          <w:sz w:val="17"/>
          <w:szCs w:val="17"/>
          <w:color w:val="auto"/>
        </w:rPr>
        <w:t>Other factors that could cause our actual results to differ from our projected results are described in the “Risk Factors” section of our Annual Reports on Form 10 -K, our Quarterly Reports on Form 10 -Q and any supplement to this prospectus as well as other documents that we have filed or will file with the SEC.</w:t>
      </w:r>
    </w:p>
    <w:p>
      <w:pPr>
        <w:spacing w:after="0" w:line="102" w:lineRule="exact"/>
        <w:rPr>
          <w:sz w:val="20"/>
          <w:szCs w:val="20"/>
          <w:color w:val="auto"/>
        </w:rPr>
      </w:pPr>
    </w:p>
    <w:p>
      <w:pPr>
        <w:ind w:left="1240" w:right="479" w:firstLine="356"/>
        <w:spacing w:after="0" w:line="234" w:lineRule="auto"/>
        <w:rPr>
          <w:sz w:val="20"/>
          <w:szCs w:val="20"/>
          <w:color w:val="auto"/>
        </w:rPr>
      </w:pPr>
      <w:r>
        <w:rPr>
          <w:rFonts w:ascii="Arial" w:cs="Arial" w:eastAsia="Arial" w:hAnsi="Arial"/>
          <w:sz w:val="18"/>
          <w:szCs w:val="18"/>
          <w:color w:val="auto"/>
        </w:rPr>
        <w:t>The afore-referenced risks and uncertainties are not necessarily all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128" w:lineRule="exact"/>
        <w:rPr>
          <w:sz w:val="20"/>
          <w:szCs w:val="20"/>
          <w:color w:val="auto"/>
        </w:rPr>
      </w:pPr>
    </w:p>
    <w:p>
      <w:pPr>
        <w:ind w:left="1240" w:right="519" w:firstLine="356"/>
        <w:spacing w:after="0" w:line="252" w:lineRule="auto"/>
        <w:rPr>
          <w:sz w:val="20"/>
          <w:szCs w:val="20"/>
          <w:color w:val="auto"/>
        </w:rPr>
      </w:pPr>
      <w:r>
        <w:rPr>
          <w:rFonts w:ascii="Arial" w:cs="Arial" w:eastAsia="Arial" w:hAnsi="Arial"/>
          <w:sz w:val="17"/>
          <w:szCs w:val="17"/>
          <w:color w:val="auto"/>
        </w:rPr>
        <w:t>You should carefully consider the risks specified under the caption “Risk Factors” in any prospectus supplement and the documents incorporated by reference and in subsequent public statements or reports we file with the SEC, before making any investment decision with respect to our securities. If any of these trends, risks or uncertainties actually occurs or continues, our business, financial condition or results of operations could be materially adversely affected, the trading price of our securities could decline and you could lose all or part of your investment. All forward -looking statements attributable to us or persons acting on our behalf are expressly qualified in their entirety by this cautionary statement.</w:t>
      </w: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299085</wp:posOffset>
            </wp:positionV>
            <wp:extent cx="5452110" cy="7867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452110" cy="786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SUMMARY</w:t>
      </w:r>
    </w:p>
    <w:p>
      <w:pPr>
        <w:spacing w:after="0" w:line="157" w:lineRule="exact"/>
        <w:rPr>
          <w:sz w:val="20"/>
          <w:szCs w:val="20"/>
          <w:color w:val="auto"/>
        </w:rPr>
      </w:pPr>
    </w:p>
    <w:p>
      <w:pPr>
        <w:ind w:left="1260" w:right="519" w:firstLine="356"/>
        <w:spacing w:after="0" w:line="253"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The summary does not contain all the information that you should consider before investing in our securities. You should read the entire prospectus carefully, including “Risk Factors” contained in any supplement to this prospectus and the documents incorporated by reference herein, before making an investment decision.</w:t>
      </w:r>
    </w:p>
    <w:p>
      <w:pPr>
        <w:spacing w:after="0" w:line="123" w:lineRule="exact"/>
        <w:rPr>
          <w:sz w:val="20"/>
          <w:szCs w:val="20"/>
          <w:color w:val="auto"/>
        </w:rPr>
      </w:pPr>
    </w:p>
    <w:p>
      <w:pPr>
        <w:ind w:left="1260" w:right="499" w:firstLine="356"/>
        <w:spacing w:after="0" w:line="251" w:lineRule="auto"/>
        <w:rPr>
          <w:sz w:val="20"/>
          <w:szCs w:val="20"/>
          <w:color w:val="auto"/>
        </w:rPr>
      </w:pPr>
      <w:r>
        <w:rPr>
          <w:rFonts w:ascii="Arial" w:cs="Arial" w:eastAsia="Arial" w:hAnsi="Arial"/>
          <w:sz w:val="18"/>
          <w:szCs w:val="18"/>
          <w:color w:val="auto"/>
        </w:rPr>
        <w:t>LivaNova PLC (together with its subsidiaries “us”, “we”, “our”, “LivaNova” or the “Company”)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1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We were organized under the laws of England and Wales on February 20, 2015 for the purpose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facilitating the business combination of Cyberonics, Inc., a Delaware corporation, and Sorin S.p.A., a joint</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company organized under the laws of Italy. The business combination became effective in</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October 2015. LivaNova’s ordinary shares are listed for trading on the NASDAQ Global Market under the</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symbol “LIVN.”</w:t>
      </w:r>
    </w:p>
    <w:p>
      <w:pPr>
        <w:spacing w:after="0" w:line="14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LivaNova is comprised of two principal business franchises, which are also our reportable segments: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Cardiovascular and Neuromodulation, corresponding to our primary therapeutic areas.</w:t>
      </w:r>
    </w:p>
    <w:p>
      <w:pPr>
        <w:spacing w:after="0" w:line="140" w:lineRule="exact"/>
        <w:rPr>
          <w:sz w:val="20"/>
          <w:szCs w:val="20"/>
          <w:color w:val="auto"/>
        </w:rPr>
      </w:pPr>
    </w:p>
    <w:p>
      <w:pPr>
        <w:ind w:left="1260" w:right="639" w:firstLine="356"/>
        <w:spacing w:after="0" w:line="253"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and advanced circulatory support products. Cardiopulmonary products include oxygenators, heart-lung machines, autotransfusion systems, perfusion tubing systems, cannulae and other related accessories. Advanced circulatory support includes temporary life support product kits that can include a combination of pumps, oxygenators and cannulae.</w:t>
      </w:r>
    </w:p>
    <w:p>
      <w:pPr>
        <w:spacing w:after="0" w:line="110" w:lineRule="exact"/>
        <w:rPr>
          <w:sz w:val="20"/>
          <w:szCs w:val="20"/>
          <w:color w:val="auto"/>
        </w:rPr>
      </w:pPr>
    </w:p>
    <w:p>
      <w:pPr>
        <w:ind w:left="1260" w:right="539" w:firstLine="356"/>
        <w:spacing w:after="0" w:line="265" w:lineRule="auto"/>
        <w:rPr>
          <w:sz w:val="20"/>
          <w:szCs w:val="20"/>
          <w:color w:val="auto"/>
        </w:rPr>
      </w:pPr>
      <w:r>
        <w:rPr>
          <w:rFonts w:ascii="Arial" w:cs="Arial" w:eastAsia="Arial" w:hAnsi="Arial"/>
          <w:sz w:val="17"/>
          <w:szCs w:val="17"/>
          <w:color w:val="auto"/>
        </w:rPr>
        <w:t>Our Neuromodulation business franchise designs, develops and markets neuromodulation-based medical devices for the treatment of epilepsy, depression and obstructive sleep apnea. We are also developing and conducting clinical testing of the VITARIA System for treating heart failure through vagus nerve stimulation (“VNS”). Our seminal Neuromodulation product, the LivaNova Vagus Nerve Stimulation Therapy (“VNS Therapy”) System, is an implantable device authorized for the treatment of drug-resistant epilepsy and difficult-to-treat depression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116" w:lineRule="exact"/>
        <w:rPr>
          <w:sz w:val="20"/>
          <w:szCs w:val="20"/>
          <w:color w:val="auto"/>
        </w:rPr>
      </w:pPr>
    </w:p>
    <w:p>
      <w:pPr>
        <w:ind w:left="1260" w:right="519" w:firstLine="356"/>
        <w:spacing w:after="0" w:line="300" w:lineRule="auto"/>
        <w:rPr>
          <w:sz w:val="20"/>
          <w:szCs w:val="20"/>
          <w:color w:val="auto"/>
        </w:rPr>
      </w:pPr>
      <w:r>
        <w:rPr>
          <w:rFonts w:ascii="Arial" w:cs="Arial" w:eastAsia="Arial" w:hAnsi="Arial"/>
          <w:sz w:val="17"/>
          <w:szCs w:val="17"/>
          <w:color w:val="auto"/>
        </w:rPr>
        <w:t>Additional information about us is included in the documents incorporated by reference in this prospectus. See “Where You Can Find More Information” and “Incorporation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RISK FACTORS</w:t>
      </w:r>
    </w:p>
    <w:p>
      <w:pPr>
        <w:spacing w:after="0" w:line="144" w:lineRule="exact"/>
        <w:rPr>
          <w:sz w:val="20"/>
          <w:szCs w:val="20"/>
          <w:color w:val="auto"/>
        </w:rPr>
      </w:pPr>
    </w:p>
    <w:p>
      <w:pPr>
        <w:ind w:left="1240" w:right="539" w:firstLine="356"/>
        <w:spacing w:after="0" w:line="249" w:lineRule="auto"/>
        <w:rPr>
          <w:sz w:val="20"/>
          <w:szCs w:val="20"/>
          <w:color w:val="auto"/>
        </w:rPr>
      </w:pPr>
      <w:r>
        <w:rPr>
          <w:rFonts w:ascii="Arial" w:cs="Arial" w:eastAsia="Arial" w:hAnsi="Arial"/>
          <w:sz w:val="18"/>
          <w:szCs w:val="18"/>
          <w:color w:val="auto"/>
        </w:rPr>
        <w:t>Investing in our securities involves a high degree of risk. Before making an investment decision, you should carefully consider all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which may be amended, supplemented or superseded from time to time by the other reports we file with the SEC in the future or by information in the applicable prospectus supplement. See “Where You Can Find More Information”. The risks and uncertainties we have described are not the only risks we face. Additional risks and uncertainties not presently known to us or that we currently deem immaterial may also affect our operations and financial condition. If any of these risks actually occurs, our business, results of operations and financial condition could be materially and adversely affected, which could cause the trading price of our securities to decline, and you could lose all or a part of your investment in our securities.</w:t>
      </w:r>
    </w:p>
    <w:p>
      <w:pPr>
        <w:spacing w:after="0" w:line="19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USE OF PROCEEDS</w:t>
      </w:r>
    </w:p>
    <w:p>
      <w:pPr>
        <w:spacing w:after="0" w:line="157" w:lineRule="exact"/>
        <w:rPr>
          <w:sz w:val="20"/>
          <w:szCs w:val="20"/>
          <w:color w:val="auto"/>
        </w:rPr>
      </w:pPr>
    </w:p>
    <w:p>
      <w:pPr>
        <w:ind w:left="1240" w:right="679" w:firstLine="356"/>
        <w:spacing w:after="0" w:line="270" w:lineRule="auto"/>
        <w:rPr>
          <w:sz w:val="20"/>
          <w:szCs w:val="20"/>
          <w:color w:val="auto"/>
        </w:rPr>
      </w:pPr>
      <w:r>
        <w:rPr>
          <w:rFonts w:ascii="Arial" w:cs="Arial" w:eastAsia="Arial" w:hAnsi="Arial"/>
          <w:sz w:val="18"/>
          <w:szCs w:val="18"/>
          <w:color w:val="auto"/>
        </w:rPr>
        <w:t>Unless the applicable prospectus supplement indicates otherwise, we intend to use net proceeds from the sale of the securities offered hereby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DESCRIPTION OF OUR ORDINARY SHARES</w:t>
      </w:r>
    </w:p>
    <w:p>
      <w:pPr>
        <w:spacing w:after="0" w:line="144" w:lineRule="exact"/>
        <w:rPr>
          <w:sz w:val="20"/>
          <w:szCs w:val="20"/>
          <w:color w:val="auto"/>
        </w:rPr>
      </w:pPr>
    </w:p>
    <w:p>
      <w:pPr>
        <w:ind w:left="1240" w:right="619" w:firstLine="356"/>
        <w:spacing w:after="0" w:line="237" w:lineRule="auto"/>
        <w:rPr>
          <w:sz w:val="20"/>
          <w:szCs w:val="20"/>
          <w:color w:val="auto"/>
        </w:rPr>
      </w:pPr>
      <w:r>
        <w:rPr>
          <w:rFonts w:ascii="Arial" w:cs="Arial" w:eastAsia="Arial" w:hAnsi="Arial"/>
          <w:sz w:val="18"/>
          <w:szCs w:val="18"/>
          <w:color w:val="auto"/>
        </w:rPr>
        <w:t>The following is a description of our share capital and a summary of the material terms of our articles of association (the “Articles”) . This summary does not purport to give a complete overview and may not contain all of the information that is important to you. To understand them fully, you should read our articles of association, a copy of which is filed with the SEC as an exhibit to the registration statement of which this prospectus is a part, and the applicable provisions of the U.K. Companies Act 2006 (the “Companies Act”) as in force from time to time.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General</w:t>
      </w:r>
    </w:p>
    <w:p>
      <w:pPr>
        <w:spacing w:after="0" w:line="157" w:lineRule="exact"/>
        <w:rPr>
          <w:sz w:val="20"/>
          <w:szCs w:val="20"/>
          <w:color w:val="auto"/>
        </w:rPr>
      </w:pPr>
    </w:p>
    <w:p>
      <w:pPr>
        <w:ind w:left="1240" w:right="479" w:firstLine="356"/>
        <w:spacing w:after="0" w:line="316" w:lineRule="auto"/>
        <w:rPr>
          <w:sz w:val="20"/>
          <w:szCs w:val="20"/>
          <w:color w:val="auto"/>
        </w:rPr>
      </w:pPr>
      <w:r>
        <w:rPr>
          <w:rFonts w:ascii="Arial" w:cs="Arial" w:eastAsia="Arial" w:hAnsi="Arial"/>
          <w:sz w:val="16"/>
          <w:szCs w:val="16"/>
          <w:color w:val="auto"/>
        </w:rPr>
        <w:t>Under English law, persons who are neither residents nor nationals of the U.K. may freely hold, vote and transfer the ordinary shares in the same manner and under the same terms as U.K. residents or nationals.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 Capital</w:t>
      </w:r>
    </w:p>
    <w:p>
      <w:pPr>
        <w:spacing w:after="0" w:line="157" w:lineRule="exact"/>
        <w:rPr>
          <w:sz w:val="20"/>
          <w:szCs w:val="20"/>
          <w:color w:val="auto"/>
        </w:rPr>
      </w:pPr>
    </w:p>
    <w:p>
      <w:pPr>
        <w:ind w:left="1240" w:right="779" w:firstLine="356"/>
        <w:spacing w:after="0" w:line="283" w:lineRule="auto"/>
        <w:rPr>
          <w:sz w:val="20"/>
          <w:szCs w:val="20"/>
          <w:color w:val="auto"/>
        </w:rPr>
      </w:pPr>
      <w:r>
        <w:rPr>
          <w:rFonts w:ascii="Arial" w:cs="Arial" w:eastAsia="Arial" w:hAnsi="Arial"/>
          <w:sz w:val="17"/>
          <w:szCs w:val="17"/>
          <w:color w:val="auto"/>
        </w:rPr>
        <w:t>As of June 30, 2021, there were 49,522,582 total ordinary shares issued, each with a nominal or par value of £1.00 each (the “ordinary shares”) and 49,983,280 total ordinary shares outstanding.</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Dividends and Distributions</w:t>
      </w:r>
    </w:p>
    <w:p>
      <w:pPr>
        <w:spacing w:after="0" w:line="144" w:lineRule="exact"/>
        <w:rPr>
          <w:sz w:val="20"/>
          <w:szCs w:val="20"/>
          <w:color w:val="auto"/>
        </w:rPr>
      </w:pPr>
    </w:p>
    <w:p>
      <w:pPr>
        <w:ind w:left="1240" w:right="459" w:firstLine="356"/>
        <w:spacing w:after="0" w:line="236" w:lineRule="auto"/>
        <w:rPr>
          <w:sz w:val="20"/>
          <w:szCs w:val="20"/>
          <w:color w:val="auto"/>
        </w:rPr>
      </w:pPr>
      <w:r>
        <w:rPr>
          <w:rFonts w:ascii="Arial" w:cs="Arial" w:eastAsia="Arial" w:hAnsi="Arial"/>
          <w:sz w:val="18"/>
          <w:szCs w:val="18"/>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23" w:lineRule="exact"/>
        <w:rPr>
          <w:sz w:val="20"/>
          <w:szCs w:val="20"/>
          <w:color w:val="auto"/>
        </w:rPr>
      </w:pPr>
    </w:p>
    <w:p>
      <w:pPr>
        <w:ind w:left="1240" w:right="579" w:firstLine="356"/>
        <w:spacing w:after="0" w:line="243" w:lineRule="auto"/>
        <w:rPr>
          <w:sz w:val="20"/>
          <w:szCs w:val="20"/>
          <w:color w:val="auto"/>
        </w:rPr>
      </w:pPr>
      <w:r>
        <w:rPr>
          <w:rFonts w:ascii="Arial" w:cs="Arial" w:eastAsia="Arial" w:hAnsi="Arial"/>
          <w:sz w:val="18"/>
          <w:szCs w:val="18"/>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18" w:lineRule="exact"/>
        <w:rPr>
          <w:sz w:val="20"/>
          <w:szCs w:val="20"/>
          <w:color w:val="auto"/>
        </w:rPr>
      </w:pPr>
    </w:p>
    <w:p>
      <w:pPr>
        <w:ind w:left="1240" w:right="539" w:firstLine="356"/>
        <w:spacing w:after="0" w:line="264" w:lineRule="auto"/>
        <w:rPr>
          <w:sz w:val="20"/>
          <w:szCs w:val="20"/>
          <w:color w:val="auto"/>
        </w:rPr>
      </w:pPr>
      <w:r>
        <w:rPr>
          <w:rFonts w:ascii="Arial" w:cs="Arial" w:eastAsia="Arial" w:hAnsi="Arial"/>
          <w:sz w:val="17"/>
          <w:szCs w:val="17"/>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89" w:lineRule="exact"/>
        <w:rPr>
          <w:sz w:val="20"/>
          <w:szCs w:val="20"/>
          <w:color w:val="auto"/>
        </w:rPr>
      </w:pPr>
    </w:p>
    <w:p>
      <w:pPr>
        <w:ind w:left="1240" w:right="659" w:firstLine="356"/>
        <w:spacing w:after="0" w:line="254" w:lineRule="auto"/>
        <w:rPr>
          <w:sz w:val="20"/>
          <w:szCs w:val="20"/>
          <w:color w:val="auto"/>
        </w:rPr>
      </w:pPr>
      <w:r>
        <w:rPr>
          <w:rFonts w:ascii="Arial" w:cs="Arial" w:eastAsia="Arial" w:hAnsi="Arial"/>
          <w:sz w:val="18"/>
          <w:szCs w:val="18"/>
          <w:color w:val="auto"/>
        </w:rPr>
        <w:t>In addition, the directors may decide to pay interim dividends. The entitlement to a dividend lapses if unclaimed by a shareholder for 12 years from the date when it became due for payment.</w:t>
      </w:r>
    </w:p>
    <w:p>
      <w:pPr>
        <w:spacing w:after="0" w:line="109" w:lineRule="exact"/>
        <w:rPr>
          <w:sz w:val="20"/>
          <w:szCs w:val="20"/>
          <w:color w:val="auto"/>
        </w:rPr>
      </w:pPr>
    </w:p>
    <w:p>
      <w:pPr>
        <w:ind w:left="1240" w:right="499" w:firstLine="356"/>
        <w:spacing w:after="0" w:line="243" w:lineRule="auto"/>
        <w:rPr>
          <w:sz w:val="20"/>
          <w:szCs w:val="20"/>
          <w:color w:val="auto"/>
        </w:rPr>
      </w:pPr>
      <w:r>
        <w:rPr>
          <w:rFonts w:ascii="Arial" w:cs="Arial" w:eastAsia="Arial" w:hAnsi="Arial"/>
          <w:sz w:val="18"/>
          <w:szCs w:val="18"/>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Voting Rights</w:t>
      </w:r>
    </w:p>
    <w:p>
      <w:pPr>
        <w:spacing w:after="0" w:line="157" w:lineRule="exact"/>
        <w:rPr>
          <w:sz w:val="20"/>
          <w:szCs w:val="20"/>
          <w:color w:val="auto"/>
        </w:rPr>
      </w:pPr>
    </w:p>
    <w:p>
      <w:pPr>
        <w:ind w:left="1240" w:right="479" w:firstLine="356"/>
        <w:spacing w:after="0" w:line="243" w:lineRule="auto"/>
        <w:rPr>
          <w:sz w:val="20"/>
          <w:szCs w:val="20"/>
          <w:color w:val="auto"/>
        </w:rPr>
      </w:pPr>
      <w:r>
        <w:rPr>
          <w:rFonts w:ascii="Arial" w:cs="Arial" w:eastAsia="Arial" w:hAnsi="Arial"/>
          <w:sz w:val="18"/>
          <w:szCs w:val="18"/>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05" w:lineRule="exact"/>
        <w:rPr>
          <w:sz w:val="20"/>
          <w:szCs w:val="20"/>
          <w:color w:val="auto"/>
        </w:rPr>
      </w:pPr>
    </w:p>
    <w:p>
      <w:pPr>
        <w:ind w:left="1240" w:right="459" w:firstLine="356"/>
        <w:spacing w:after="0" w:line="237" w:lineRule="auto"/>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Amendment to the Articles</w:t>
      </w:r>
    </w:p>
    <w:p>
      <w:pPr>
        <w:spacing w:after="0" w:line="157" w:lineRule="exact"/>
        <w:rPr>
          <w:sz w:val="20"/>
          <w:szCs w:val="20"/>
          <w:color w:val="auto"/>
        </w:rPr>
      </w:pPr>
    </w:p>
    <w:p>
      <w:pPr>
        <w:ind w:left="1240" w:right="639" w:firstLine="356"/>
        <w:spacing w:after="0" w:line="316" w:lineRule="auto"/>
        <w:rPr>
          <w:sz w:val="20"/>
          <w:szCs w:val="20"/>
          <w:color w:val="auto"/>
        </w:rPr>
      </w:pPr>
      <w:r>
        <w:rPr>
          <w:rFonts w:ascii="Arial" w:cs="Arial" w:eastAsia="Arial" w:hAnsi="Arial"/>
          <w:sz w:val="16"/>
          <w:szCs w:val="16"/>
          <w:color w:val="auto"/>
        </w:rPr>
        <w:t>Under the Companies Act, the shareholders may amend the articles of association of the Company by special resolution (a resolution passed by the holders of at least 75% of those shares voted either in person</w:t>
      </w: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719"/>
        <w:spacing w:after="0" w:line="258" w:lineRule="auto"/>
        <w:rPr>
          <w:sz w:val="20"/>
          <w:szCs w:val="20"/>
          <w:color w:val="auto"/>
        </w:rPr>
      </w:pPr>
      <w:r>
        <w:rPr>
          <w:rFonts w:ascii="Arial" w:cs="Arial" w:eastAsia="Arial" w:hAnsi="Arial"/>
          <w:sz w:val="18"/>
          <w:szCs w:val="18"/>
          <w:color w:val="auto"/>
        </w:rPr>
        <w:t>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Modification of Rights</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The rights attaching to the ordinary shares may be modified with the written consent of the holders of</w:t>
      </w:r>
    </w:p>
    <w:p>
      <w:pPr>
        <w:spacing w:after="0" w:line="31" w:lineRule="exact"/>
        <w:rPr>
          <w:sz w:val="20"/>
          <w:szCs w:val="20"/>
          <w:color w:val="auto"/>
        </w:rPr>
      </w:pPr>
    </w:p>
    <w:p>
      <w:pPr>
        <w:ind w:left="1240" w:right="919"/>
        <w:spacing w:after="0" w:line="316" w:lineRule="auto"/>
        <w:rPr>
          <w:sz w:val="20"/>
          <w:szCs w:val="20"/>
          <w:color w:val="auto"/>
        </w:rPr>
      </w:pPr>
      <w:r>
        <w:rPr>
          <w:rFonts w:ascii="Arial" w:cs="Arial" w:eastAsia="Arial" w:hAnsi="Arial"/>
          <w:sz w:val="16"/>
          <w:szCs w:val="16"/>
          <w:color w:val="auto"/>
        </w:rPr>
        <w:t>75% in nominal value of the issued ordinary shares (excluding any shares of that class held as treasury shares), or by a special resolution of the holders of the issued ordinary shares, but not otherwise.</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General Meetings and Notices</w:t>
      </w:r>
    </w:p>
    <w:p>
      <w:pPr>
        <w:spacing w:after="0" w:line="157" w:lineRule="exact"/>
        <w:rPr>
          <w:sz w:val="20"/>
          <w:szCs w:val="20"/>
          <w:color w:val="auto"/>
        </w:rPr>
      </w:pPr>
    </w:p>
    <w:p>
      <w:pPr>
        <w:ind w:left="1240" w:right="459" w:firstLine="356"/>
        <w:spacing w:after="0" w:line="250"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28" w:lineRule="exact"/>
        <w:rPr>
          <w:sz w:val="20"/>
          <w:szCs w:val="20"/>
          <w:color w:val="auto"/>
        </w:rPr>
      </w:pPr>
    </w:p>
    <w:p>
      <w:pPr>
        <w:ind w:left="1240" w:right="479" w:firstLine="356"/>
        <w:spacing w:after="0" w:line="251" w:lineRule="auto"/>
        <w:rPr>
          <w:sz w:val="20"/>
          <w:szCs w:val="20"/>
          <w:color w:val="auto"/>
        </w:rPr>
      </w:pPr>
      <w:r>
        <w:rPr>
          <w:rFonts w:ascii="Arial" w:cs="Arial" w:eastAsia="Arial" w:hAnsi="Arial"/>
          <w:sz w:val="18"/>
          <w:szCs w:val="18"/>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pacing w:after="0" w:line="113" w:lineRule="exact"/>
        <w:rPr>
          <w:sz w:val="20"/>
          <w:szCs w:val="20"/>
          <w:color w:val="auto"/>
        </w:rPr>
      </w:pPr>
    </w:p>
    <w:p>
      <w:pPr>
        <w:ind w:left="1240" w:right="579" w:firstLine="356"/>
        <w:spacing w:after="0" w:line="306" w:lineRule="auto"/>
        <w:rPr>
          <w:sz w:val="20"/>
          <w:szCs w:val="20"/>
          <w:color w:val="auto"/>
        </w:rPr>
      </w:pPr>
      <w:r>
        <w:rPr>
          <w:rFonts w:ascii="Arial" w:cs="Arial" w:eastAsia="Arial" w:hAnsi="Arial"/>
          <w:sz w:val="16"/>
          <w:szCs w:val="16"/>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83" w:lineRule="exact"/>
        <w:rPr>
          <w:sz w:val="20"/>
          <w:szCs w:val="20"/>
          <w:color w:val="auto"/>
        </w:rPr>
      </w:pPr>
    </w:p>
    <w:p>
      <w:pPr>
        <w:ind w:left="1240" w:right="519" w:firstLine="356"/>
        <w:spacing w:after="0" w:line="255"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Disclosure of Interests in Ordinary Shares</w:t>
      </w:r>
    </w:p>
    <w:p>
      <w:pPr>
        <w:spacing w:after="0" w:line="157" w:lineRule="exact"/>
        <w:rPr>
          <w:sz w:val="20"/>
          <w:szCs w:val="20"/>
          <w:color w:val="auto"/>
        </w:rPr>
      </w:pPr>
    </w:p>
    <w:p>
      <w:pPr>
        <w:ind w:left="1240" w:right="499" w:firstLine="356"/>
        <w:spacing w:after="0" w:line="266" w:lineRule="auto"/>
        <w:rPr>
          <w:sz w:val="20"/>
          <w:szCs w:val="20"/>
          <w:color w:val="auto"/>
        </w:rPr>
      </w:pPr>
      <w:r>
        <w:rPr>
          <w:rFonts w:ascii="Arial" w:cs="Arial" w:eastAsia="Arial" w:hAnsi="Arial"/>
          <w:sz w:val="17"/>
          <w:szCs w:val="17"/>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percent in nominal value of the issued shares of their class, in respect of such shares, no dividends shall be paid, and no transfers of such shares shall be registered save in certain circumstances.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Return of Capital and Winding Up</w:t>
      </w:r>
    </w:p>
    <w:p>
      <w:pPr>
        <w:spacing w:after="0" w:line="144" w:lineRule="exact"/>
        <w:rPr>
          <w:sz w:val="20"/>
          <w:szCs w:val="20"/>
          <w:color w:val="auto"/>
        </w:rPr>
      </w:pPr>
    </w:p>
    <w:p>
      <w:pPr>
        <w:ind w:left="1240" w:right="579" w:firstLine="356"/>
        <w:spacing w:after="0" w:line="296" w:lineRule="auto"/>
        <w:rPr>
          <w:sz w:val="20"/>
          <w:szCs w:val="20"/>
          <w:color w:val="auto"/>
        </w:rPr>
      </w:pPr>
      <w:r>
        <w:rPr>
          <w:rFonts w:ascii="Arial" w:cs="Arial" w:eastAsia="Arial" w:hAnsi="Arial"/>
          <w:sz w:val="16"/>
          <w:szCs w:val="16"/>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79" w:firstLine="356"/>
        <w:spacing w:after="0" w:line="251" w:lineRule="auto"/>
        <w:rPr>
          <w:sz w:val="20"/>
          <w:szCs w:val="20"/>
          <w:color w:val="auto"/>
        </w:rPr>
      </w:pPr>
      <w:r>
        <w:rPr>
          <w:rFonts w:ascii="Arial" w:cs="Arial" w:eastAsia="Arial" w:hAnsi="Arial"/>
          <w:sz w:val="17"/>
          <w:szCs w:val="17"/>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Authority to Allot New Shares and Pre-Emption Rights</w:t>
      </w:r>
    </w:p>
    <w:p>
      <w:pPr>
        <w:spacing w:after="0" w:line="144" w:lineRule="exact"/>
        <w:rPr>
          <w:sz w:val="20"/>
          <w:szCs w:val="20"/>
          <w:color w:val="auto"/>
        </w:rPr>
      </w:pPr>
    </w:p>
    <w:p>
      <w:pPr>
        <w:ind w:left="1240" w:right="499" w:firstLine="356"/>
        <w:spacing w:after="0" w:line="258" w:lineRule="auto"/>
        <w:rPr>
          <w:sz w:val="20"/>
          <w:szCs w:val="20"/>
          <w:color w:val="auto"/>
        </w:rPr>
      </w:pPr>
      <w:r>
        <w:rPr>
          <w:rFonts w:ascii="Arial" w:cs="Arial" w:eastAsia="Arial" w:hAnsi="Arial"/>
          <w:sz w:val="17"/>
          <w:szCs w:val="17"/>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07"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At the annual general meeting of shareholders held on June 9, 2021 (the “2021 AGM”), the Company’s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shareholders passed an ordinary resolution granting the Board authority to allot new shares and to grant</w:t>
      </w:r>
    </w:p>
    <w:p>
      <w:pPr>
        <w:ind w:left="1240"/>
        <w:spacing w:after="0" w:line="237" w:lineRule="auto"/>
        <w:rPr>
          <w:sz w:val="20"/>
          <w:szCs w:val="20"/>
          <w:color w:val="auto"/>
        </w:rPr>
      </w:pPr>
      <w:r>
        <w:rPr>
          <w:rFonts w:ascii="Arial" w:cs="Arial" w:eastAsia="Arial" w:hAnsi="Arial"/>
          <w:sz w:val="18"/>
          <w:szCs w:val="18"/>
          <w:color w:val="auto"/>
        </w:rPr>
        <w:t>rights to subscribe for, or to convert any security into, shares, up to an aggregate nominal value of</w:t>
      </w:r>
    </w:p>
    <w:p>
      <w:pPr>
        <w:ind w:left="1240"/>
        <w:spacing w:after="0"/>
        <w:rPr>
          <w:sz w:val="20"/>
          <w:szCs w:val="20"/>
          <w:color w:val="auto"/>
        </w:rPr>
      </w:pPr>
      <w:r>
        <w:rPr>
          <w:rFonts w:ascii="Arial" w:cs="Arial" w:eastAsia="Arial" w:hAnsi="Arial"/>
          <w:sz w:val="17"/>
          <w:szCs w:val="17"/>
          <w:color w:val="auto"/>
        </w:rPr>
        <w:t>£16,122,679, which is equivalent to approximately 33% of the Company’s total issued ordinary share capital</w:t>
      </w:r>
    </w:p>
    <w:p>
      <w:pPr>
        <w:ind w:left="1240"/>
        <w:spacing w:after="0" w:line="237" w:lineRule="auto"/>
        <w:rPr>
          <w:sz w:val="20"/>
          <w:szCs w:val="20"/>
          <w:color w:val="auto"/>
        </w:rPr>
      </w:pPr>
      <w:r>
        <w:rPr>
          <w:rFonts w:ascii="Arial" w:cs="Arial" w:eastAsia="Arial" w:hAnsi="Arial"/>
          <w:sz w:val="18"/>
          <w:szCs w:val="18"/>
          <w:color w:val="auto"/>
        </w:rPr>
        <w:t>(excluding treasury shares) as at April 22, 2021. This authority (unless previously revoked, varied or</w:t>
      </w:r>
    </w:p>
    <w:p>
      <w:pPr>
        <w:ind w:left="1240"/>
        <w:spacing w:after="0"/>
        <w:rPr>
          <w:sz w:val="20"/>
          <w:szCs w:val="20"/>
          <w:color w:val="auto"/>
        </w:rPr>
      </w:pPr>
      <w:r>
        <w:rPr>
          <w:rFonts w:ascii="Arial" w:cs="Arial" w:eastAsia="Arial" w:hAnsi="Arial"/>
          <w:sz w:val="17"/>
          <w:szCs w:val="17"/>
          <w:color w:val="auto"/>
        </w:rPr>
        <w:t>renewed by the Company) will expire at the end of the next annual general meeting of the Company or, if</w:t>
      </w:r>
    </w:p>
    <w:p>
      <w:pPr>
        <w:ind w:left="1240"/>
        <w:spacing w:after="0" w:line="237" w:lineRule="auto"/>
        <w:rPr>
          <w:sz w:val="20"/>
          <w:szCs w:val="20"/>
          <w:color w:val="auto"/>
        </w:rPr>
      </w:pPr>
      <w:r>
        <w:rPr>
          <w:rFonts w:ascii="Arial" w:cs="Arial" w:eastAsia="Arial" w:hAnsi="Arial"/>
          <w:sz w:val="18"/>
          <w:szCs w:val="18"/>
          <w:color w:val="auto"/>
        </w:rPr>
        <w:t>earlier, the close of business on the date that is fifteen (15) months after the 2021 AGM, save that the</w:t>
      </w:r>
    </w:p>
    <w:p>
      <w:pPr>
        <w:ind w:left="1240"/>
        <w:spacing w:after="0"/>
        <w:rPr>
          <w:sz w:val="20"/>
          <w:szCs w:val="20"/>
          <w:color w:val="auto"/>
        </w:rPr>
      </w:pPr>
      <w:r>
        <w:rPr>
          <w:rFonts w:ascii="Arial" w:cs="Arial" w:eastAsia="Arial" w:hAnsi="Arial"/>
          <w:sz w:val="17"/>
          <w:szCs w:val="17"/>
          <w:color w:val="auto"/>
        </w:rPr>
        <w:t>directors may, before this authority expires, make offers or agreements which would or might require shares</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 the Company to be allotted, or rights to subscribe for, or convert securities into, shares to be granted,</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after its expiry and the directors may allot shares or grant rights to subscribe for, or convert securities into,</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shares pursuant to such offers or agreements as if this authority had not expired.</w:t>
      </w:r>
    </w:p>
    <w:p>
      <w:pPr>
        <w:spacing w:after="0" w:line="124" w:lineRule="exact"/>
        <w:rPr>
          <w:sz w:val="20"/>
          <w:szCs w:val="20"/>
          <w:color w:val="auto"/>
        </w:rPr>
      </w:pPr>
    </w:p>
    <w:p>
      <w:pPr>
        <w:ind w:left="1240" w:right="539" w:firstLine="356"/>
        <w:spacing w:after="0" w:line="249" w:lineRule="auto"/>
        <w:rPr>
          <w:sz w:val="20"/>
          <w:szCs w:val="20"/>
          <w:color w:val="auto"/>
        </w:rPr>
      </w:pPr>
      <w:r>
        <w:rPr>
          <w:rFonts w:ascii="Arial" w:cs="Arial" w:eastAsia="Arial" w:hAnsi="Arial"/>
          <w:sz w:val="17"/>
          <w:szCs w:val="17"/>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07" w:lineRule="exact"/>
        <w:rPr>
          <w:sz w:val="20"/>
          <w:szCs w:val="20"/>
          <w:color w:val="auto"/>
        </w:rPr>
      </w:pPr>
    </w:p>
    <w:p>
      <w:pPr>
        <w:ind w:left="1240" w:right="499" w:firstLine="356"/>
        <w:spacing w:after="0" w:line="266" w:lineRule="auto"/>
        <w:rPr>
          <w:sz w:val="20"/>
          <w:szCs w:val="20"/>
          <w:color w:val="auto"/>
        </w:rPr>
      </w:pPr>
      <w:r>
        <w:rPr>
          <w:rFonts w:ascii="Arial" w:cs="Arial" w:eastAsia="Arial" w:hAnsi="Arial"/>
          <w:sz w:val="16"/>
          <w:szCs w:val="16"/>
          <w:color w:val="auto"/>
        </w:rPr>
        <w:t>At the 2021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(a) £2,442,830 for any purpose; and (b) an additional £2,442,830 only for the purposes of financing an acquisition or other capital investment. The amounts set out under (a) and (b) are each equal to approximately 5% (and together equal to approximately 10%) of the Company’s issued ordinary share capital (excluding treasury shares) as at April 22, 2021. This power (unless previously revoked, varied or renewed by the Company) will expire at the end of the next annual general meeting of the Company or, if earlier, the close of business on the date that is fifteen (15) months after the 2021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Alteration of Share Capital/Repurchase of Ordinary Shares</w:t>
      </w:r>
    </w:p>
    <w:p>
      <w:pPr>
        <w:spacing w:after="0" w:line="157" w:lineRule="exact"/>
        <w:rPr>
          <w:sz w:val="20"/>
          <w:szCs w:val="20"/>
          <w:color w:val="auto"/>
        </w:rPr>
      </w:pPr>
    </w:p>
    <w:p>
      <w:pPr>
        <w:ind w:left="1240" w:right="479" w:firstLine="356"/>
        <w:spacing w:after="0" w:line="254" w:lineRule="auto"/>
        <w:rPr>
          <w:sz w:val="20"/>
          <w:szCs w:val="20"/>
          <w:color w:val="auto"/>
        </w:rPr>
      </w:pPr>
      <w:r>
        <w:rPr>
          <w:rFonts w:ascii="Arial" w:cs="Arial" w:eastAsia="Arial" w:hAnsi="Arial"/>
          <w:sz w:val="18"/>
          <w:szCs w:val="18"/>
          <w:color w:val="auto"/>
        </w:rPr>
        <w:t>Subject to the Companies Act, and without prejudice to any relevant special rights attached to any class of shares, the Company may, from time to time, among other things:</w:t>
      </w:r>
    </w:p>
    <w:p>
      <w:pPr>
        <w:spacing w:after="0" w:line="56" w:lineRule="exact"/>
        <w:rPr>
          <w:sz w:val="20"/>
          <w:szCs w:val="20"/>
          <w:color w:val="auto"/>
        </w:rPr>
      </w:pPr>
    </w:p>
    <w:p>
      <w:pPr>
        <w:ind w:left="1780" w:right="539" w:hanging="176"/>
        <w:spacing w:after="0" w:line="258"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 (see “Authority to Allot New Shares and Pre-Emption Rights” above);</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right="539" w:hanging="176"/>
        <w:spacing w:after="0" w:line="258"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par value) than the existing shares, subject to this being approved by its shareholders by means of an ordinary resolution;</w:t>
      </w:r>
    </w:p>
    <w:p>
      <w:pPr>
        <w:spacing w:after="0" w:line="79" w:lineRule="exact"/>
        <w:rPr>
          <w:rFonts w:ascii="Arial" w:cs="Arial" w:eastAsia="Arial" w:hAnsi="Arial"/>
          <w:sz w:val="18"/>
          <w:szCs w:val="18"/>
          <w:color w:val="auto"/>
        </w:rPr>
      </w:pPr>
    </w:p>
    <w:p>
      <w:pPr>
        <w:ind w:left="1780" w:right="599" w:hanging="176"/>
        <w:spacing w:after="0" w:line="333" w:lineRule="auto"/>
        <w:tabs>
          <w:tab w:leader="none" w:pos="1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subdivide any of its shares into shares of a smaller nominal amount (i.e., par value) than its existing shares, subject to this being approved by its shareholders by means of an ordinary resolution; or</w:t>
      </w:r>
    </w:p>
    <w:p>
      <w:pPr>
        <w:spacing w:after="0" w:line="23" w:lineRule="exact"/>
        <w:rPr>
          <w:rFonts w:ascii="Arial" w:cs="Arial" w:eastAsia="Arial" w:hAnsi="Arial"/>
          <w:sz w:val="16"/>
          <w:szCs w:val="16"/>
          <w:color w:val="auto"/>
        </w:rPr>
      </w:pPr>
    </w:p>
    <w:p>
      <w:pPr>
        <w:ind w:left="1780" w:right="899" w:hanging="176"/>
        <w:spacing w:after="0" w:line="270"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subject to this being approved by its shareholders by means of an ordinary resolution.</w:t>
      </w:r>
    </w:p>
    <w:p>
      <w:pPr>
        <w:spacing w:after="0" w:line="95" w:lineRule="exact"/>
        <w:rPr>
          <w:sz w:val="20"/>
          <w:szCs w:val="20"/>
          <w:color w:val="auto"/>
        </w:rPr>
      </w:pPr>
    </w:p>
    <w:p>
      <w:pPr>
        <w:ind w:left="1240" w:right="539" w:firstLine="356"/>
        <w:spacing w:after="0" w:line="258" w:lineRule="auto"/>
        <w:rPr>
          <w:sz w:val="20"/>
          <w:szCs w:val="20"/>
          <w:color w:val="auto"/>
        </w:rPr>
      </w:pPr>
      <w:r>
        <w:rPr>
          <w:rFonts w:ascii="Arial" w:cs="Arial" w:eastAsia="Arial" w:hAnsi="Arial"/>
          <w:sz w:val="18"/>
          <w:szCs w:val="18"/>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Transfer of Ordinary Shares</w:t>
      </w:r>
    </w:p>
    <w:p>
      <w:pPr>
        <w:spacing w:after="0" w:line="157" w:lineRule="exact"/>
        <w:rPr>
          <w:sz w:val="20"/>
          <w:szCs w:val="20"/>
          <w:color w:val="auto"/>
        </w:rPr>
      </w:pPr>
    </w:p>
    <w:p>
      <w:pPr>
        <w:ind w:left="1240" w:right="679" w:firstLine="356"/>
        <w:spacing w:after="0" w:line="253" w:lineRule="auto"/>
        <w:rPr>
          <w:sz w:val="20"/>
          <w:szCs w:val="20"/>
          <w:color w:val="auto"/>
        </w:rPr>
      </w:pPr>
      <w:r>
        <w:rPr>
          <w:rFonts w:ascii="Arial" w:cs="Arial" w:eastAsia="Arial" w:hAnsi="Arial"/>
          <w:sz w:val="18"/>
          <w:szCs w:val="18"/>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Company may not Charge a Fee for Registering the Transfer of a Share.</w:t>
      </w:r>
    </w:p>
    <w:p>
      <w:pPr>
        <w:spacing w:after="0" w:line="157" w:lineRule="exact"/>
        <w:rPr>
          <w:sz w:val="20"/>
          <w:szCs w:val="20"/>
          <w:color w:val="auto"/>
        </w:rPr>
      </w:pPr>
    </w:p>
    <w:p>
      <w:pPr>
        <w:ind w:left="1240" w:right="639" w:firstLine="356"/>
        <w:spacing w:after="0" w:line="269"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Exchange Listing</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ordinary shares trade on Nasdaq under the symbol “LIVN”.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DESCRIPTION OF OUR PREFERRED SHARES</w:t>
      </w:r>
    </w:p>
    <w:p>
      <w:pPr>
        <w:spacing w:after="0" w:line="144" w:lineRule="exact"/>
        <w:rPr>
          <w:sz w:val="20"/>
          <w:szCs w:val="20"/>
          <w:color w:val="auto"/>
        </w:rPr>
      </w:pPr>
    </w:p>
    <w:p>
      <w:pPr>
        <w:ind w:left="1240" w:right="519" w:firstLine="356"/>
        <w:spacing w:after="0" w:line="265" w:lineRule="auto"/>
        <w:rPr>
          <w:sz w:val="20"/>
          <w:szCs w:val="20"/>
          <w:color w:val="auto"/>
        </w:rPr>
      </w:pPr>
      <w:r>
        <w:rPr>
          <w:rFonts w:ascii="Arial" w:cs="Arial" w:eastAsia="Arial" w:hAnsi="Arial"/>
          <w:sz w:val="17"/>
          <w:szCs w:val="17"/>
          <w:color w:val="auto"/>
        </w:rPr>
        <w:t>The Company may, from time to time, issue preferred shares, subject to having a sufficient authority to allot and (where such preferred shares constitute “equity securities” for the purposes of the Companies Act and are to be paid for wholly in cash and allotted otherwise than in accordance with existing shareholders’ pre-emption rights) a sufficient disapplication of pre-emption rights to cover such issuance. Such preferred shares may be issued in one or more classes with such rights or restrictions as may be determined by:</w:t>
      </w:r>
    </w:p>
    <w:p>
      <w:pPr>
        <w:spacing w:after="0" w:line="1" w:lineRule="exact"/>
        <w:rPr>
          <w:sz w:val="20"/>
          <w:szCs w:val="20"/>
          <w:color w:val="auto"/>
        </w:rPr>
      </w:pPr>
    </w:p>
    <w:p>
      <w:pPr>
        <w:ind w:left="1240" w:right="499" w:firstLine="8"/>
        <w:spacing w:after="0" w:line="248" w:lineRule="auto"/>
        <w:tabs>
          <w:tab w:leader="none" w:pos="1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resolution of the Company’s shareholders; or (ii) the Board (in the absence of, and so long as there is no conflict with, any special resolution that has been passed by the Company’s shareholders). Such rights and restrictions could include dividend rights, conversion rights, voting rights, rights and terms of redemption and liquidation preferences, any or all of which may be greater than and/or preferential to the rights of the ordinary shares. Satisfaction of any dividend preferences of outstanding preferred shares would reduce the amount of funds available for the payment of dividends on ordinary shares. Holders of preferred shares may be entitled to receive a preference payment in the event of our liquidation before any payment is made to the holders of ordinary shares.</w:t>
      </w:r>
    </w:p>
    <w:p>
      <w:pPr>
        <w:spacing w:after="0" w:line="131" w:lineRule="exact"/>
        <w:rPr>
          <w:sz w:val="20"/>
          <w:szCs w:val="20"/>
          <w:color w:val="auto"/>
        </w:rPr>
      </w:pPr>
    </w:p>
    <w:p>
      <w:pPr>
        <w:ind w:left="1240" w:right="1019" w:firstLine="356"/>
        <w:spacing w:after="0" w:line="270" w:lineRule="auto"/>
        <w:rPr>
          <w:sz w:val="20"/>
          <w:szCs w:val="20"/>
          <w:color w:val="auto"/>
        </w:rPr>
      </w:pPr>
      <w:r>
        <w:rPr>
          <w:rFonts w:ascii="Arial" w:cs="Arial" w:eastAsia="Arial" w:hAnsi="Arial"/>
          <w:sz w:val="18"/>
          <w:szCs w:val="18"/>
          <w:color w:val="auto"/>
        </w:rPr>
        <w:t>As of the date of this offering, there are no preferred shares outstanding, and we have no present intention to issue any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DESCRIPTION OF RIGHTS</w:t>
      </w:r>
    </w:p>
    <w:p>
      <w:pPr>
        <w:spacing w:after="0" w:line="144" w:lineRule="exact"/>
        <w:rPr>
          <w:sz w:val="20"/>
          <w:szCs w:val="20"/>
          <w:color w:val="auto"/>
        </w:rPr>
      </w:pPr>
    </w:p>
    <w:p>
      <w:pPr>
        <w:jc w:val="both"/>
        <w:ind w:left="1240" w:right="559" w:firstLine="356"/>
        <w:spacing w:after="0" w:line="258" w:lineRule="auto"/>
        <w:rPr>
          <w:sz w:val="20"/>
          <w:szCs w:val="20"/>
          <w:color w:val="auto"/>
        </w:rPr>
      </w:pPr>
      <w:r>
        <w:rPr>
          <w:rFonts w:ascii="Arial" w:cs="Arial" w:eastAsia="Arial" w:hAnsi="Arial"/>
          <w:sz w:val="18"/>
          <w:szCs w:val="18"/>
          <w:color w:val="auto"/>
        </w:rPr>
        <w:t>We may offer rights to purchase ordinary shares or preferred shares, which we refer to as “rights”. The applicable prospectus supplement will describe the specific terms of any such rights offering, including, as applicable:</w:t>
      </w:r>
    </w:p>
    <w:p>
      <w:pPr>
        <w:spacing w:after="0" w:line="80" w:lineRule="exact"/>
        <w:rPr>
          <w:sz w:val="20"/>
          <w:szCs w:val="20"/>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securities for which the rights are exercisable;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rights issued;</w:t>
      </w:r>
    </w:p>
    <w:p>
      <w:pPr>
        <w:spacing w:after="0" w:line="113" w:lineRule="exact"/>
        <w:rPr>
          <w:rFonts w:ascii="Arial" w:cs="Arial" w:eastAsia="Arial" w:hAnsi="Arial"/>
          <w:sz w:val="18"/>
          <w:szCs w:val="18"/>
          <w:color w:val="auto"/>
        </w:rPr>
      </w:pPr>
    </w:p>
    <w:p>
      <w:pPr>
        <w:ind w:left="1780" w:right="639" w:hanging="176"/>
        <w:spacing w:after="0" w:line="270"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exercise of the rights;</w:t>
      </w:r>
    </w:p>
    <w:p>
      <w:pPr>
        <w:spacing w:after="0" w:line="67" w:lineRule="exact"/>
        <w:rPr>
          <w:rFonts w:ascii="Arial" w:cs="Arial" w:eastAsia="Arial" w:hAnsi="Arial"/>
          <w:sz w:val="18"/>
          <w:szCs w:val="18"/>
          <w:color w:val="auto"/>
        </w:rPr>
      </w:pPr>
    </w:p>
    <w:p>
      <w:pPr>
        <w:ind w:left="1780" w:right="479" w:hanging="176"/>
        <w:spacing w:after="0" w:line="270"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regarding the trading of rights, including the stock exchanges, if any, on which the rights will be listed;</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record date, if any, to determine who is entitled to the rights;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period during which rights may be exercised;</w:t>
      </w:r>
    </w:p>
    <w:p>
      <w:pPr>
        <w:spacing w:after="0" w:line="113" w:lineRule="exact"/>
        <w:rPr>
          <w:rFonts w:ascii="Arial" w:cs="Arial" w:eastAsia="Arial" w:hAnsi="Arial"/>
          <w:sz w:val="18"/>
          <w:szCs w:val="18"/>
          <w:color w:val="auto"/>
        </w:rPr>
      </w:pPr>
    </w:p>
    <w:p>
      <w:pPr>
        <w:ind w:left="1780" w:right="819" w:hanging="176"/>
        <w:spacing w:after="0" w:line="270"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we enter into in connection with the offering; and</w:t>
      </w:r>
    </w:p>
    <w:p>
      <w:pPr>
        <w:spacing w:after="0" w:line="67" w:lineRule="exact"/>
        <w:rPr>
          <w:rFonts w:ascii="Arial" w:cs="Arial" w:eastAsia="Arial" w:hAnsi="Arial"/>
          <w:sz w:val="18"/>
          <w:szCs w:val="18"/>
          <w:color w:val="auto"/>
        </w:rPr>
      </w:pPr>
    </w:p>
    <w:p>
      <w:pPr>
        <w:ind w:left="1780" w:right="499" w:hanging="176"/>
        <w:spacing w:after="0" w:line="270"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and U.K. income tax considerations applicable to the issuance of the rights.</w:t>
      </w:r>
    </w:p>
    <w:p>
      <w:pPr>
        <w:spacing w:after="0" w:line="108" w:lineRule="exact"/>
        <w:rPr>
          <w:sz w:val="20"/>
          <w:szCs w:val="20"/>
          <w:color w:val="auto"/>
        </w:rPr>
      </w:pPr>
    </w:p>
    <w:p>
      <w:pPr>
        <w:ind w:left="1240" w:right="499" w:firstLine="356"/>
        <w:spacing w:after="0" w:line="267" w:lineRule="auto"/>
        <w:rPr>
          <w:sz w:val="20"/>
          <w:szCs w:val="20"/>
          <w:color w:val="auto"/>
        </w:rPr>
      </w:pPr>
      <w:r>
        <w:rPr>
          <w:rFonts w:ascii="Arial" w:cs="Arial" w:eastAsia="Arial" w:hAnsi="Arial"/>
          <w:sz w:val="17"/>
          <w:szCs w:val="17"/>
          <w:color w:val="auto"/>
        </w:rPr>
        <w:t>If we determine to make appropriate arrangements for rights trading, persons other than our shareholders may acquire rights as described in the prospectus supplement. We may determine to offer rights to our shareholders only or additionally to other persons as described in the applicable prospectus supplement. In the event rights are offered only to our shareholders and their rights remain unexercised, we may determine to offer the unsubscribed offered securities to persons other than our shareholders. In addition, we may enter into a standby underwriting arrangement with one or more underwriters under which the underwriter or underwriters, as the case may be, will purchase any offered securities remaining unsubscribed for after the offering, as described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PLAN OF DISTRIBUTION</w:t>
      </w:r>
    </w:p>
    <w:p>
      <w:pPr>
        <w:spacing w:after="0" w:line="144" w:lineRule="exact"/>
        <w:rPr>
          <w:sz w:val="20"/>
          <w:szCs w:val="20"/>
          <w:color w:val="auto"/>
        </w:rPr>
      </w:pPr>
    </w:p>
    <w:p>
      <w:pPr>
        <w:ind w:left="1240" w:right="539" w:firstLine="356"/>
        <w:spacing w:after="0" w:line="236"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(As used under this caption “Plan of Distribution”, the term “securities” means the securities offered by this prospectus and any applicable prospectus supplement, unless otherwise expressly stated or the context otherwise requires). The securities may be distributed from time to time in one or more transactions, each of which will be described in the applicable prospectus supplement and which may include transactions:</w:t>
      </w:r>
    </w:p>
    <w:p>
      <w:pPr>
        <w:spacing w:after="0" w:line="83" w:lineRule="exact"/>
        <w:rPr>
          <w:sz w:val="20"/>
          <w:szCs w:val="20"/>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0" w:lineRule="exact"/>
        <w:rPr>
          <w:sz w:val="20"/>
          <w:szCs w:val="20"/>
          <w:color w:val="auto"/>
        </w:rPr>
      </w:pPr>
    </w:p>
    <w:p>
      <w:pPr>
        <w:ind w:left="1240" w:right="639" w:firstLine="356"/>
        <w:spacing w:after="0" w:line="251" w:lineRule="auto"/>
        <w:rPr>
          <w:sz w:val="20"/>
          <w:szCs w:val="20"/>
          <w:color w:val="auto"/>
        </w:rPr>
      </w:pPr>
      <w:r>
        <w:rPr>
          <w:rFonts w:ascii="Arial" w:cs="Arial" w:eastAsia="Arial" w:hAnsi="Arial"/>
          <w:sz w:val="17"/>
          <w:szCs w:val="17"/>
          <w:color w:val="auto"/>
        </w:rPr>
        <w:t>Each time that we sell securities covered by this prospectus, we will provide a prospectus supplement or supplements that will describe the method of distribution and set forth the terms and conditions of the offering of such securities, including (i) the name or names of any underwriters, dealers or agents and the amounts of securities underwritten or purchased by each of them; (ii) if a fixed price offering, the public offering price of the securities; (iii) any options under which underwriters may purchase additional securities from us; (iv) any underwriting discounts or commissions or agency fees and other items constituting underwriters’ or agents’ compensation; (v) terms and conditions of the offering; and (vi) any discounts, commissions or concessions allowed or reallowed or paid to dealers.</w:t>
      </w:r>
    </w:p>
    <w:p>
      <w:pPr>
        <w:spacing w:after="0" w:line="112" w:lineRule="exact"/>
        <w:rPr>
          <w:sz w:val="20"/>
          <w:szCs w:val="20"/>
          <w:color w:val="auto"/>
        </w:rPr>
      </w:pPr>
    </w:p>
    <w:p>
      <w:pPr>
        <w:ind w:left="1240" w:right="499" w:firstLine="356"/>
        <w:spacing w:after="0" w:line="243"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18" w:lineRule="exact"/>
        <w:rPr>
          <w:sz w:val="20"/>
          <w:szCs w:val="20"/>
          <w:color w:val="auto"/>
        </w:rPr>
      </w:pPr>
    </w:p>
    <w:p>
      <w:pPr>
        <w:jc w:val="both"/>
        <w:ind w:left="1240" w:right="539" w:firstLine="356"/>
        <w:spacing w:after="0" w:line="243"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5" w:lineRule="exact"/>
        <w:rPr>
          <w:sz w:val="20"/>
          <w:szCs w:val="20"/>
          <w:color w:val="auto"/>
        </w:rPr>
      </w:pPr>
    </w:p>
    <w:p>
      <w:pPr>
        <w:ind w:left="1240" w:right="459" w:firstLine="356"/>
        <w:spacing w:after="0" w:line="266"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5" w:lineRule="exact"/>
        <w:rPr>
          <w:sz w:val="20"/>
          <w:szCs w:val="20"/>
          <w:color w:val="auto"/>
        </w:rPr>
      </w:pPr>
    </w:p>
    <w:p>
      <w:pPr>
        <w:ind w:left="1240" w:right="519" w:firstLine="356"/>
        <w:spacing w:after="0" w:line="266" w:lineRule="auto"/>
        <w:rPr>
          <w:sz w:val="20"/>
          <w:szCs w:val="20"/>
          <w:color w:val="auto"/>
        </w:rPr>
      </w:pPr>
      <w:r>
        <w:rPr>
          <w:rFonts w:ascii="Arial" w:cs="Arial" w:eastAsia="Arial" w:hAnsi="Arial"/>
          <w:sz w:val="17"/>
          <w:szCs w:val="17"/>
          <w:color w:val="auto"/>
        </w:rPr>
        <w:t>Any compensation paid to underwriters, dealers or agents in connection with the offering of the securities, and any discounts, concessions or commissions allowed by underwriters to participating dealers, will be disclosed in the applicable prospectus supplement. Underwriters, dealers and agents participating in the distribution of the securities may be deemed to be underwriters within the meaning of the Securities Act of 1933,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of 1933, or to contribute to payments they may be required to make in respect thereof and to reimburse those persons for certain expenses.</w:t>
      </w:r>
    </w:p>
    <w:p>
      <w:pPr>
        <w:spacing w:after="0" w:line="118" w:lineRule="exact"/>
        <w:rPr>
          <w:sz w:val="20"/>
          <w:szCs w:val="20"/>
          <w:color w:val="auto"/>
        </w:rPr>
      </w:pPr>
    </w:p>
    <w:p>
      <w:pPr>
        <w:ind w:left="1240" w:right="599" w:firstLine="356"/>
        <w:spacing w:after="0" w:line="253" w:lineRule="auto"/>
        <w:rPr>
          <w:sz w:val="20"/>
          <w:szCs w:val="20"/>
          <w:color w:val="auto"/>
        </w:rPr>
      </w:pPr>
      <w:r>
        <w:rPr>
          <w:rFonts w:ascii="Arial" w:cs="Arial" w:eastAsia="Arial" w:hAnsi="Arial"/>
          <w:sz w:val="18"/>
          <w:szCs w:val="18"/>
          <w:color w:val="auto"/>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99"/>
        <w:spacing w:after="0" w:line="267" w:lineRule="auto"/>
        <w:rPr>
          <w:sz w:val="20"/>
          <w:szCs w:val="20"/>
          <w:color w:val="auto"/>
        </w:rPr>
      </w:pPr>
      <w:r>
        <w:rPr>
          <w:rFonts w:ascii="Arial" w:cs="Arial" w:eastAsia="Arial" w:hAnsi="Arial"/>
          <w:sz w:val="17"/>
          <w:szCs w:val="17"/>
          <w:color w:val="auto"/>
        </w:rPr>
        <w:t>or short positions by making purchases in the open market or by exercising their option, if any, to purchase additional securities from us.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None of the persons participating in any such offering will be obligated to engage in these transactions and these transactions, if commenced, may be discontinued at any time.</w:t>
      </w:r>
    </w:p>
    <w:p>
      <w:pPr>
        <w:spacing w:after="0" w:line="102" w:lineRule="exact"/>
        <w:rPr>
          <w:sz w:val="20"/>
          <w:szCs w:val="20"/>
          <w:color w:val="auto"/>
        </w:rPr>
      </w:pPr>
    </w:p>
    <w:p>
      <w:pPr>
        <w:ind w:left="1240" w:right="479" w:firstLine="356"/>
        <w:spacing w:after="0" w:line="266"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15" w:lineRule="exact"/>
        <w:rPr>
          <w:sz w:val="20"/>
          <w:szCs w:val="20"/>
          <w:color w:val="auto"/>
        </w:rPr>
      </w:pPr>
    </w:p>
    <w:p>
      <w:pPr>
        <w:ind w:left="1240" w:right="539" w:firstLine="356"/>
        <w:spacing w:after="0" w:line="270"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LEGAL MATTERS</w:t>
      </w:r>
    </w:p>
    <w:p>
      <w:pPr>
        <w:spacing w:after="0" w:line="157" w:lineRule="exact"/>
        <w:rPr>
          <w:sz w:val="20"/>
          <w:szCs w:val="20"/>
          <w:color w:val="auto"/>
        </w:rPr>
      </w:pPr>
    </w:p>
    <w:p>
      <w:pPr>
        <w:ind w:left="1240" w:right="639" w:firstLine="356"/>
        <w:spacing w:after="0" w:line="270" w:lineRule="auto"/>
        <w:rPr>
          <w:sz w:val="20"/>
          <w:szCs w:val="20"/>
          <w:color w:val="auto"/>
        </w:rPr>
      </w:pPr>
      <w:r>
        <w:rPr>
          <w:rFonts w:ascii="Arial" w:cs="Arial" w:eastAsia="Arial" w:hAnsi="Arial"/>
          <w:sz w:val="18"/>
          <w:szCs w:val="18"/>
          <w:color w:val="auto"/>
        </w:rPr>
        <w:t>Certain legal matters in connection with the securities to be offered hereby will be passed upon for us by Cleary Gottlieb Steen &amp; Hamilton LLP, our US counsel and English solicitors.</w:t>
      </w:r>
    </w:p>
    <w:p>
      <w:pPr>
        <w:spacing w:after="0" w:line="17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EXPERTS</w:t>
      </w:r>
    </w:p>
    <w:p>
      <w:pPr>
        <w:spacing w:after="0" w:line="144" w:lineRule="exact"/>
        <w:rPr>
          <w:sz w:val="20"/>
          <w:szCs w:val="20"/>
          <w:color w:val="auto"/>
        </w:rPr>
      </w:pPr>
    </w:p>
    <w:p>
      <w:pPr>
        <w:ind w:left="1240" w:right="699" w:firstLine="356"/>
        <w:spacing w:after="0" w:line="252"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w:t>
      </w:r>
    </w:p>
    <w:p>
      <w:pPr>
        <w:spacing w:after="0" w:line="18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ENFORCEMENT OF JUDGMENTS</w:t>
      </w:r>
    </w:p>
    <w:p>
      <w:pPr>
        <w:spacing w:after="0" w:line="157" w:lineRule="exact"/>
        <w:rPr>
          <w:sz w:val="20"/>
          <w:szCs w:val="20"/>
          <w:color w:val="auto"/>
        </w:rPr>
      </w:pPr>
    </w:p>
    <w:p>
      <w:pPr>
        <w:ind w:left="1240" w:right="479" w:firstLine="356"/>
        <w:spacing w:after="0" w:line="255" w:lineRule="auto"/>
        <w:rPr>
          <w:sz w:val="20"/>
          <w:szCs w:val="20"/>
          <w:color w:val="auto"/>
        </w:rPr>
      </w:pPr>
      <w:r>
        <w:rPr>
          <w:rFonts w:ascii="Arial" w:cs="Arial" w:eastAsia="Arial" w:hAnsi="Arial"/>
          <w:sz w:val="18"/>
          <w:szCs w:val="18"/>
          <w:color w:val="auto"/>
        </w:rPr>
        <w:t>We are incorporated under the laws of England and Wales. Some of our directors and officers may reside outside the United States, and a portion of our assets and the assets of such persons may be located outside the United States. As a result, it may be difficult for you to serve legal process on us or our directors and executive officers or have any of them appear in a U.S. court.</w:t>
      </w:r>
    </w:p>
    <w:p>
      <w:pPr>
        <w:spacing w:after="0" w:line="121" w:lineRule="exact"/>
        <w:rPr>
          <w:sz w:val="20"/>
          <w:szCs w:val="20"/>
          <w:color w:val="auto"/>
        </w:rPr>
      </w:pPr>
    </w:p>
    <w:p>
      <w:pPr>
        <w:ind w:left="1240" w:right="519" w:firstLine="356"/>
        <w:spacing w:after="0" w:line="265" w:lineRule="auto"/>
        <w:rPr>
          <w:sz w:val="20"/>
          <w:szCs w:val="20"/>
          <w:color w:val="auto"/>
        </w:rPr>
      </w:pPr>
      <w:r>
        <w:rPr>
          <w:rFonts w:ascii="Arial" w:cs="Arial" w:eastAsia="Arial" w:hAnsi="Arial"/>
          <w:sz w:val="17"/>
          <w:szCs w:val="17"/>
          <w:color w:val="auto"/>
        </w:rPr>
        <w:t>The United States and the United Kingdom do not currently have a treaty providing for the recognition and enforcement of judgments, other than arbitration awards, in civil and commercial matters. The enforceability of any judgment of a United States federal or state court in the United Kingdom will depend on the laws and any treaties in effect at the time, including conflicts of laws principles (such as those bearing on the question of whether a United Kingdom court would recognize the basis on which a United States court had purported to exercise jurisdiction over a defendant). In this context, there is doubt as to the enforceability in the United Kingdom of civil liabilities based solely on the federal securities laws of the United States. In addition, awards for punitive damages in actions brought in the United States or elsewhere may be unenforceable in the United Kingdom. An award for monetary damages under the United States securities laws would likely be considered punitive if it did not seek to compensate the claimant for loss or damage suffered and was intended to punish the defendant.</w:t>
      </w:r>
    </w:p>
    <w:p>
      <w:pPr>
        <w:spacing w:after="0" w:line="36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44" w:lineRule="exact"/>
        <w:rPr>
          <w:sz w:val="20"/>
          <w:szCs w:val="20"/>
          <w:color w:val="auto"/>
        </w:rPr>
      </w:pPr>
    </w:p>
    <w:p>
      <w:pPr>
        <w:ind w:left="1240" w:right="959" w:firstLine="356"/>
        <w:spacing w:after="0" w:line="258" w:lineRule="auto"/>
        <w:rPr>
          <w:sz w:val="20"/>
          <w:szCs w:val="20"/>
          <w:color w:val="auto"/>
        </w:rPr>
      </w:pPr>
      <w:r>
        <w:rPr>
          <w:rFonts w:ascii="Arial" w:cs="Arial" w:eastAsia="Arial" w:hAnsi="Arial"/>
          <w:sz w:val="18"/>
          <w:szCs w:val="18"/>
          <w:color w:val="auto"/>
        </w:rPr>
        <w:t>The following table sets forth the expenses payable by us in connection with the issuance and distribution of the securities being registered, other than underwriting discounts and commissions. All amounts are estimates, except for the registration fee.</w:t>
      </w:r>
    </w:p>
    <w:p>
      <w:pPr>
        <w:spacing w:after="0" w:line="154"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53"/>
        </w:trPr>
        <w:tc>
          <w:tcPr>
            <w:tcW w:w="7100" w:type="dxa"/>
            <w:vAlign w:val="bottom"/>
            <w:gridSpan w:val="3"/>
          </w:tcPr>
          <w:p>
            <w:pPr>
              <w:ind w:left="360"/>
              <w:spacing w:after="0"/>
              <w:rPr>
                <w:sz w:val="20"/>
                <w:szCs w:val="20"/>
                <w:color w:val="auto"/>
              </w:rPr>
            </w:pPr>
            <w:r>
              <w:rPr>
                <w:rFonts w:ascii="Arial" w:cs="Arial" w:eastAsia="Arial" w:hAnsi="Arial"/>
                <w:sz w:val="18"/>
                <w:szCs w:val="18"/>
                <w:color w:val="auto"/>
              </w:rPr>
              <w:t>FINRA filing fee</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54"/>
        </w:trPr>
        <w:tc>
          <w:tcPr>
            <w:tcW w:w="360" w:type="dxa"/>
            <w:vAlign w:val="bottom"/>
          </w:tcPr>
          <w:p>
            <w:pPr>
              <w:spacing w:after="0"/>
              <w:rPr>
                <w:sz w:val="22"/>
                <w:szCs w:val="22"/>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53"/>
        </w:trPr>
        <w:tc>
          <w:tcPr>
            <w:tcW w:w="7100" w:type="dxa"/>
            <w:vAlign w:val="bottom"/>
            <w:gridSpan w:val="3"/>
          </w:tcPr>
          <w:p>
            <w:pPr>
              <w:ind w:left="360"/>
              <w:spacing w:after="0"/>
              <w:rPr>
                <w:sz w:val="20"/>
                <w:szCs w:val="20"/>
                <w:color w:val="auto"/>
              </w:rPr>
            </w:pPr>
            <w:r>
              <w:rPr>
                <w:rFonts w:ascii="Arial" w:cs="Arial" w:eastAsia="Arial" w:hAnsi="Arial"/>
                <w:sz w:val="18"/>
                <w:szCs w:val="18"/>
                <w:color w:val="auto"/>
              </w:rPr>
              <w:t>Expenses of the transfer agent</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54"/>
        </w:trPr>
        <w:tc>
          <w:tcPr>
            <w:tcW w:w="360" w:type="dxa"/>
            <w:vAlign w:val="bottom"/>
          </w:tcPr>
          <w:p>
            <w:pPr>
              <w:spacing w:after="0"/>
              <w:rPr>
                <w:sz w:val="22"/>
                <w:szCs w:val="22"/>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53"/>
        </w:trPr>
        <w:tc>
          <w:tcPr>
            <w:tcW w:w="710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61"/>
        </w:trPr>
        <w:tc>
          <w:tcPr>
            <w:tcW w:w="360" w:type="dxa"/>
            <w:vAlign w:val="bottom"/>
          </w:tcPr>
          <w:p>
            <w:pPr>
              <w:spacing w:after="0"/>
              <w:rPr>
                <w:sz w:val="22"/>
                <w:szCs w:val="22"/>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66"/>
        </w:trPr>
        <w:tc>
          <w:tcPr>
            <w:tcW w:w="360" w:type="dxa"/>
            <w:vAlign w:val="bottom"/>
          </w:tcPr>
          <w:p>
            <w:pPr>
              <w:spacing w:after="0"/>
              <w:rPr>
                <w:sz w:val="23"/>
                <w:szCs w:val="23"/>
                <w:color w:val="auto"/>
              </w:rPr>
            </w:pPr>
          </w:p>
        </w:tc>
        <w:tc>
          <w:tcPr>
            <w:tcW w:w="67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
        </w:trPr>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7"/>
        </w:trPr>
        <w:tc>
          <w:tcPr>
            <w:tcW w:w="3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132" w:lineRule="exact"/>
        <w:rPr>
          <w:sz w:val="20"/>
          <w:szCs w:val="20"/>
          <w:color w:val="auto"/>
        </w:rPr>
      </w:pPr>
    </w:p>
    <w:p>
      <w:pPr>
        <w:ind w:left="1600" w:right="719" w:hanging="352"/>
        <w:spacing w:after="0" w:line="270" w:lineRule="auto"/>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41"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Deferred in accordance with Rules 456(b) and 457(r) under the Securities Act of 1933</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44" w:lineRule="exact"/>
        <w:rPr>
          <w:sz w:val="20"/>
          <w:szCs w:val="20"/>
          <w:color w:val="auto"/>
        </w:rPr>
      </w:pPr>
    </w:p>
    <w:p>
      <w:pPr>
        <w:ind w:left="1240" w:right="519" w:firstLine="356"/>
        <w:spacing w:after="0" w:line="258" w:lineRule="auto"/>
        <w:rPr>
          <w:sz w:val="20"/>
          <w:szCs w:val="20"/>
          <w:color w:val="auto"/>
        </w:rPr>
      </w:pPr>
      <w:r>
        <w:rPr>
          <w:rFonts w:ascii="Arial" w:cs="Arial" w:eastAsia="Arial" w:hAnsi="Arial"/>
          <w:sz w:val="18"/>
          <w:szCs w:val="18"/>
          <w:color w:val="auto"/>
        </w:rPr>
        <w:t>LivaNova is a public limited company incorporated under the laws of England and Wales. Chapter 7 of Part 10 of the Companies Act contains provisions relating to directors’ liability. All statutory references in this Item 15 are to the Companies Act.</w:t>
      </w:r>
    </w:p>
    <w:p>
      <w:pPr>
        <w:spacing w:after="0" w:line="120" w:lineRule="exact"/>
        <w:rPr>
          <w:sz w:val="20"/>
          <w:szCs w:val="20"/>
          <w:color w:val="auto"/>
        </w:rPr>
      </w:pPr>
    </w:p>
    <w:p>
      <w:pPr>
        <w:jc w:val="both"/>
        <w:ind w:left="1240" w:right="759" w:firstLine="356"/>
        <w:spacing w:after="0" w:line="258" w:lineRule="auto"/>
        <w:rPr>
          <w:sz w:val="20"/>
          <w:szCs w:val="20"/>
          <w:color w:val="auto"/>
        </w:rPr>
      </w:pPr>
      <w:r>
        <w:rPr>
          <w:rFonts w:ascii="Arial" w:cs="Arial" w:eastAsia="Arial" w:hAnsi="Arial"/>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20" w:lineRule="exact"/>
        <w:rPr>
          <w:sz w:val="20"/>
          <w:szCs w:val="20"/>
          <w:color w:val="auto"/>
        </w:rPr>
      </w:pPr>
    </w:p>
    <w:p>
      <w:pPr>
        <w:ind w:left="1240" w:right="559" w:firstLine="356"/>
        <w:spacing w:after="0" w:line="281" w:lineRule="auto"/>
        <w:rPr>
          <w:sz w:val="20"/>
          <w:szCs w:val="20"/>
          <w:color w:val="auto"/>
        </w:rPr>
      </w:pPr>
      <w:r>
        <w:rPr>
          <w:rFonts w:ascii="Arial" w:cs="Arial" w:eastAsia="Arial" w:hAnsi="Arial"/>
          <w:sz w:val="17"/>
          <w:szCs w:val="17"/>
          <w:color w:val="auto"/>
        </w:rPr>
        <w:t>Section 232(2) makes void any provision by which a company directly or indirectly provides an indemnity for a director of the company against any liability attaching to him or her in connection with any negligence, default, breach of duty or breach of trust in relation to the company, except if permitted as:</w:t>
      </w:r>
    </w:p>
    <w:p>
      <w:pPr>
        <w:spacing w:after="0" w:line="87" w:lineRule="exact"/>
        <w:rPr>
          <w:sz w:val="20"/>
          <w:szCs w:val="20"/>
          <w:color w:val="auto"/>
        </w:rPr>
      </w:pPr>
    </w:p>
    <w:p>
      <w:pPr>
        <w:ind w:left="1960" w:hanging="3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153" w:lineRule="exact"/>
        <w:rPr>
          <w:rFonts w:ascii="Arial" w:cs="Arial" w:eastAsia="Arial" w:hAnsi="Arial"/>
          <w:sz w:val="18"/>
          <w:szCs w:val="18"/>
          <w:color w:val="auto"/>
        </w:rPr>
      </w:pPr>
    </w:p>
    <w:p>
      <w:pPr>
        <w:ind w:left="1960" w:hanging="3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153" w:lineRule="exact"/>
        <w:rPr>
          <w:rFonts w:ascii="Arial" w:cs="Arial" w:eastAsia="Arial" w:hAnsi="Arial"/>
          <w:sz w:val="18"/>
          <w:szCs w:val="18"/>
          <w:color w:val="auto"/>
        </w:rPr>
      </w:pPr>
    </w:p>
    <w:p>
      <w:pPr>
        <w:ind w:left="1960" w:hanging="3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pension scheme indemnity provisions under Section 235.</w:t>
      </w:r>
    </w:p>
    <w:p>
      <w:pPr>
        <w:spacing w:after="0" w:line="153" w:lineRule="exact"/>
        <w:rPr>
          <w:sz w:val="20"/>
          <w:szCs w:val="20"/>
          <w:color w:val="auto"/>
        </w:rPr>
      </w:pPr>
    </w:p>
    <w:p>
      <w:pPr>
        <w:jc w:val="both"/>
        <w:ind w:left="1240" w:right="479" w:firstLine="356"/>
        <w:spacing w:after="0" w:line="258" w:lineRule="auto"/>
        <w:rPr>
          <w:sz w:val="20"/>
          <w:szCs w:val="20"/>
          <w:color w:val="auto"/>
        </w:rPr>
      </w:pPr>
      <w:r>
        <w:rPr>
          <w:rFonts w:ascii="Arial" w:cs="Arial" w:eastAsia="Arial" w:hAnsi="Arial"/>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106" w:lineRule="exact"/>
        <w:rPr>
          <w:sz w:val="20"/>
          <w:szCs w:val="20"/>
          <w:color w:val="auto"/>
        </w:rPr>
      </w:pPr>
    </w:p>
    <w:p>
      <w:pPr>
        <w:ind w:left="1240" w:right="539" w:firstLine="356"/>
        <w:spacing w:after="0" w:line="269" w:lineRule="auto"/>
        <w:rPr>
          <w:sz w:val="20"/>
          <w:szCs w:val="20"/>
          <w:color w:val="auto"/>
        </w:rPr>
      </w:pPr>
      <w:r>
        <w:rPr>
          <w:rFonts w:ascii="Arial" w:cs="Arial" w:eastAsia="Arial" w:hAnsi="Arial"/>
          <w:sz w:val="17"/>
          <w:szCs w:val="17"/>
          <w:color w:val="auto"/>
        </w:rPr>
        <w:t>Section 234 allows LivaNova to provide an indemnity against liability incurred by a director to someone other than LivaNova or an associated company of LivaNova. Such an indemnity does not permit indemnification against liability to pay criminal fines or civil penalties to a regulatory authority or the costs of an unsuccessful defense of criminal or civil proceedings or application for relief under Sections 661 (power of court to grant relief in case of acquisition of shares by innocent nominee) or 1157 (general power of court to grant relief in case of honest and reasonable conduct) of the Companies Act.</w:t>
      </w:r>
    </w:p>
    <w:p>
      <w:pPr>
        <w:spacing w:after="0" w:line="113" w:lineRule="exact"/>
        <w:rPr>
          <w:sz w:val="20"/>
          <w:szCs w:val="20"/>
          <w:color w:val="auto"/>
        </w:rPr>
      </w:pPr>
    </w:p>
    <w:p>
      <w:pPr>
        <w:ind w:left="1240" w:right="499" w:firstLine="356"/>
        <w:spacing w:after="0" w:line="258" w:lineRule="auto"/>
        <w:rPr>
          <w:sz w:val="20"/>
          <w:szCs w:val="20"/>
          <w:color w:val="auto"/>
        </w:rPr>
      </w:pPr>
      <w:r>
        <w:rPr>
          <w:rFonts w:ascii="Arial" w:cs="Arial" w:eastAsia="Arial" w:hAnsi="Arial"/>
          <w:sz w:val="18"/>
          <w:szCs w:val="18"/>
          <w:color w:val="auto"/>
        </w:rPr>
        <w:t>Section 235 allows LivaNova to provide indemnification to a director that is a trustee of an occupational pension scheme if joint liability incurred in connection with the company’s activities as trustee of the scheme.</w:t>
      </w:r>
    </w:p>
    <w:p>
      <w:pPr>
        <w:sectPr>
          <w:pgSz w:w="11900" w:h="16838" w:orient="portrait"/>
          <w:cols w:equalWidth="0" w:num="1">
            <w:col w:w="9819"/>
          </w:cols>
          <w:pgMar w:left="640" w:top="132" w:right="1440" w:bottom="1440" w:gutter="0" w:footer="0" w:header="0"/>
        </w:sectPr>
      </w:pPr>
    </w:p>
    <w:p>
      <w:pPr>
        <w:spacing w:after="0" w:line="36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599"/>
        <w:spacing w:after="0" w:line="270" w:lineRule="auto"/>
        <w:rPr>
          <w:sz w:val="20"/>
          <w:szCs w:val="20"/>
          <w:color w:val="auto"/>
        </w:rPr>
      </w:pPr>
      <w:r>
        <w:rPr>
          <w:rFonts w:ascii="Arial" w:cs="Arial" w:eastAsia="Arial" w:hAnsi="Arial"/>
          <w:sz w:val="18"/>
          <w:szCs w:val="18"/>
          <w:color w:val="auto"/>
        </w:rPr>
        <w:t>Such provision does not permit indemnification against liability to pay criminal fines or civil penalties to a regulatory authority or the costs of an unsuccessful defense of criminal proceedings.</w:t>
      </w:r>
    </w:p>
    <w:p>
      <w:pPr>
        <w:spacing w:after="0" w:line="95" w:lineRule="exact"/>
        <w:rPr>
          <w:sz w:val="20"/>
          <w:szCs w:val="20"/>
          <w:color w:val="auto"/>
        </w:rPr>
      </w:pPr>
    </w:p>
    <w:p>
      <w:pPr>
        <w:ind w:left="1240" w:right="519" w:firstLine="356"/>
        <w:spacing w:after="0" w:line="255" w:lineRule="auto"/>
        <w:rPr>
          <w:sz w:val="20"/>
          <w:szCs w:val="20"/>
          <w:color w:val="auto"/>
        </w:rPr>
      </w:pPr>
      <w:r>
        <w:rPr>
          <w:rFonts w:ascii="Arial" w:cs="Arial" w:eastAsia="Arial" w:hAnsi="Arial"/>
          <w:sz w:val="18"/>
          <w:szCs w:val="18"/>
          <w:color w:val="auto"/>
        </w:rPr>
        <w:t>Any indemnity provided under Section 234 or Section 235 must be disclosed in the company’s annual report in accordance with Section 236 and copies of such indemnification provisions made available for inspection in accordance with Section 237 (and every member has a right to inspect and request such copies under Section 238).</w:t>
      </w:r>
    </w:p>
    <w:p>
      <w:pPr>
        <w:spacing w:after="0" w:line="121" w:lineRule="exact"/>
        <w:rPr>
          <w:sz w:val="20"/>
          <w:szCs w:val="20"/>
          <w:color w:val="auto"/>
        </w:rPr>
      </w:pPr>
    </w:p>
    <w:p>
      <w:pPr>
        <w:ind w:left="1240" w:right="619" w:firstLine="356"/>
        <w:spacing w:after="0" w:line="281" w:lineRule="auto"/>
        <w:rPr>
          <w:sz w:val="20"/>
          <w:szCs w:val="20"/>
          <w:color w:val="auto"/>
        </w:rPr>
      </w:pPr>
      <w:r>
        <w:rPr>
          <w:rFonts w:ascii="Arial" w:cs="Arial" w:eastAsia="Arial" w:hAnsi="Arial"/>
          <w:sz w:val="17"/>
          <w:szCs w:val="17"/>
          <w:color w:val="auto"/>
        </w:rPr>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01" w:lineRule="exact"/>
        <w:rPr>
          <w:sz w:val="20"/>
          <w:szCs w:val="20"/>
          <w:color w:val="auto"/>
        </w:rPr>
      </w:pPr>
    </w:p>
    <w:p>
      <w:pPr>
        <w:ind w:left="1240" w:right="499" w:firstLine="356"/>
        <w:spacing w:after="0" w:line="269" w:lineRule="auto"/>
        <w:rPr>
          <w:sz w:val="20"/>
          <w:szCs w:val="20"/>
          <w:color w:val="auto"/>
        </w:rPr>
      </w:pPr>
      <w:r>
        <w:rPr>
          <w:rFonts w:ascii="Arial" w:cs="Arial" w:eastAsia="Arial" w:hAnsi="Arial"/>
          <w:sz w:val="17"/>
          <w:szCs w:val="17"/>
          <w:color w:val="auto"/>
        </w:rPr>
        <w:t>The LivaNova articles of association provide that, subject to the Companies Act , LivaNova may indemnify any person who is or was a director of LivaNova or any associated company against any loss or liability incurred by him whether in connection with any negligence, default, breach of duty or breach of trust by him or otherwise, in relation to LivaNova or any associated company, and any person who is or was a director of an associated company that is a trustee of an occupational pension scheme, against any liability incurred by him in connection with the company’s activities as trustee of an occupational pension scheme.</w:t>
      </w:r>
    </w:p>
    <w:p>
      <w:pPr>
        <w:spacing w:after="0" w:line="100" w:lineRule="exact"/>
        <w:rPr>
          <w:sz w:val="20"/>
          <w:szCs w:val="20"/>
          <w:color w:val="auto"/>
        </w:rPr>
      </w:pPr>
    </w:p>
    <w:p>
      <w:pPr>
        <w:ind w:left="1240" w:right="479" w:firstLine="356"/>
        <w:spacing w:after="0" w:line="249" w:lineRule="auto"/>
        <w:rPr>
          <w:sz w:val="20"/>
          <w:szCs w:val="20"/>
          <w:color w:val="auto"/>
        </w:rPr>
      </w:pPr>
      <w:r>
        <w:rPr>
          <w:rFonts w:ascii="Arial" w:cs="Arial" w:eastAsia="Arial" w:hAnsi="Arial"/>
          <w:sz w:val="18"/>
          <w:szCs w:val="18"/>
          <w:color w:val="auto"/>
        </w:rPr>
        <w:t>The LivaNova articles of association also provide that, subject to the Companies Act , LivaNova may purchase and maintain insurance for or for the benefit of any person who is or was a director, officer or employee of LivaNova, or any corporate entity which is or was the holding company or subsidiary undertaking of LivaNova, or in which LivaNova or such holding company or subsidiary undertaking has or had any interest or with which LivaNova or such holding company or subsidiary undertaking is or was in any way allied or associated.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LivaNova or the relevant body.</w:t>
      </w:r>
    </w:p>
    <w:p>
      <w:pPr>
        <w:spacing w:after="0" w:line="133" w:lineRule="exact"/>
        <w:rPr>
          <w:sz w:val="20"/>
          <w:szCs w:val="20"/>
          <w:color w:val="auto"/>
        </w:rPr>
      </w:pPr>
    </w:p>
    <w:p>
      <w:pPr>
        <w:ind w:left="1240" w:right="459" w:firstLine="356"/>
        <w:spacing w:after="0" w:line="252" w:lineRule="auto"/>
        <w:rPr>
          <w:sz w:val="20"/>
          <w:szCs w:val="20"/>
          <w:color w:val="auto"/>
        </w:rPr>
      </w:pPr>
      <w:r>
        <w:rPr>
          <w:rFonts w:ascii="Arial" w:cs="Arial" w:eastAsia="Arial" w:hAnsi="Arial"/>
          <w:sz w:val="18"/>
          <w:szCs w:val="18"/>
          <w:color w:val="auto"/>
        </w:rPr>
        <w:t>We have entered into deeds of indemnification with each of our directors and executive officers. Pursuant to these agreements, we agree to indemnify these individuals to the fullest extent permissible under law (including the limitations described above) against liabilities arising out of, or in connection with, the actual or purported exercise of, or failure to exercise, any of his or her powers, duties or responsibilities as a director or officer, and to advance expenses incurred as a result of any proceeding against them as to which they could be indemnified.</w:t>
      </w:r>
    </w:p>
    <w:p>
      <w:pPr>
        <w:spacing w:after="0" w:line="124" w:lineRule="exact"/>
        <w:rPr>
          <w:sz w:val="20"/>
          <w:szCs w:val="20"/>
          <w:color w:val="auto"/>
        </w:rPr>
      </w:pPr>
    </w:p>
    <w:p>
      <w:pPr>
        <w:ind w:left="1240" w:right="839" w:firstLine="356"/>
        <w:spacing w:after="0" w:line="258" w:lineRule="auto"/>
        <w:rPr>
          <w:sz w:val="20"/>
          <w:szCs w:val="20"/>
          <w:color w:val="auto"/>
        </w:rPr>
      </w:pPr>
      <w:r>
        <w:rPr>
          <w:rFonts w:ascii="Arial" w:cs="Arial" w:eastAsia="Arial" w:hAnsi="Arial"/>
          <w:sz w:val="18"/>
          <w:szCs w:val="18"/>
          <w:color w:val="auto"/>
        </w:rPr>
        <w:t>We also agree to use all reasonable endeavors to provide and maintain appropriate directors’ and officers’ liability insurance (including ensuring that premiums are properly paid) for their benefit for so long as any claims may lawfully be brought against them.</w:t>
      </w:r>
    </w:p>
    <w:p>
      <w:pPr>
        <w:spacing w:after="0" w:line="106" w:lineRule="exact"/>
        <w:rPr>
          <w:sz w:val="20"/>
          <w:szCs w:val="20"/>
          <w:color w:val="auto"/>
        </w:rPr>
      </w:pPr>
    </w:p>
    <w:p>
      <w:pPr>
        <w:ind w:left="1240" w:right="599" w:firstLine="356"/>
        <w:spacing w:after="0" w:line="269" w:lineRule="auto"/>
        <w:rPr>
          <w:sz w:val="20"/>
          <w:szCs w:val="20"/>
          <w:color w:val="auto"/>
        </w:rPr>
      </w:pPr>
      <w:r>
        <w:rPr>
          <w:rFonts w:ascii="Arial" w:cs="Arial" w:eastAsia="Arial" w:hAnsi="Arial"/>
          <w:sz w:val="17"/>
          <w:szCs w:val="17"/>
          <w:color w:val="auto"/>
        </w:rPr>
        <w:t>We have obtained and expect to continue to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16. Exhibits.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240"/>
        <w:spacing w:after="0"/>
        <w:tabs>
          <w:tab w:leader="none" w:pos="20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3810</wp:posOffset>
            </wp:positionV>
            <wp:extent cx="4643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38" w:lineRule="exact"/>
        <w:rPr>
          <w:sz w:val="20"/>
          <w:szCs w:val="20"/>
          <w:color w:val="auto"/>
        </w:rPr>
      </w:pPr>
    </w:p>
    <w:p>
      <w:pPr>
        <w:ind w:left="134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33" w:lineRule="exact"/>
        <w:rPr>
          <w:sz w:val="20"/>
          <w:szCs w:val="20"/>
          <w:color w:val="auto"/>
        </w:rPr>
      </w:pPr>
    </w:p>
    <w:p>
      <w:pPr>
        <w:ind w:left="2020" w:right="859" w:hanging="684"/>
        <w:spacing w:after="0" w:line="270" w:lineRule="auto"/>
        <w:tabs>
          <w:tab w:leader="none" w:pos="20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42">
        <w:r>
          <w:rPr>
            <w:rFonts w:ascii="Arial" w:cs="Arial" w:eastAsia="Arial" w:hAnsi="Arial"/>
            <w:sz w:val="18"/>
            <w:szCs w:val="18"/>
            <w:u w:val="single" w:color="auto"/>
            <w:color w:val="0000EE"/>
          </w:rPr>
          <w:t>Amended Articles of Association, incorporated by reference to Exhibit 3.1 of the Company’s</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Quarterly Report on Form 10-Q for the quarter ended June 30, 2020*</w:t>
        </w:r>
      </w:hyperlink>
    </w:p>
    <w:p>
      <w:pPr>
        <w:spacing w:after="0" w:line="15" w:lineRule="exact"/>
        <w:rPr>
          <w:sz w:val="20"/>
          <w:szCs w:val="20"/>
          <w:color w:val="auto"/>
        </w:rPr>
      </w:pPr>
    </w:p>
    <w:p>
      <w:pPr>
        <w:ind w:left="1340"/>
        <w:spacing w:after="0"/>
        <w:tabs>
          <w:tab w:leader="none" w:pos="2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Form of Preferred Shares**</w:t>
      </w:r>
    </w:p>
    <w:p>
      <w:pPr>
        <w:spacing w:after="0" w:line="47" w:lineRule="exact"/>
        <w:rPr>
          <w:sz w:val="20"/>
          <w:szCs w:val="20"/>
          <w:color w:val="auto"/>
        </w:rPr>
      </w:pPr>
    </w:p>
    <w:p>
      <w:pPr>
        <w:ind w:left="1340"/>
        <w:spacing w:after="0"/>
        <w:tabs>
          <w:tab w:leader="none" w:pos="200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24">
        <w:r>
          <w:rPr>
            <w:rFonts w:ascii="Arial" w:cs="Arial" w:eastAsia="Arial" w:hAnsi="Arial"/>
            <w:sz w:val="17"/>
            <w:szCs w:val="17"/>
            <w:u w:val="single" w:color="auto"/>
            <w:color w:val="0000EE"/>
          </w:rPr>
          <w:t>Opinion of Cleary Gottlieb Steen &amp; Hamilton LLP</w:t>
        </w:r>
      </w:hyperlink>
    </w:p>
    <w:p>
      <w:pPr>
        <w:spacing w:after="0" w:line="60" w:lineRule="exact"/>
        <w:rPr>
          <w:sz w:val="20"/>
          <w:szCs w:val="20"/>
          <w:color w:val="auto"/>
        </w:rPr>
      </w:pPr>
    </w:p>
    <w:p>
      <w:pPr>
        <w:ind w:left="124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9">
        <w:r>
          <w:rPr>
            <w:rFonts w:ascii="Arial" w:cs="Arial" w:eastAsia="Arial" w:hAnsi="Arial"/>
            <w:sz w:val="16"/>
            <w:szCs w:val="16"/>
            <w:u w:val="single" w:color="auto"/>
            <w:color w:val="0000EE"/>
          </w:rPr>
          <w:t>Consent of PricewaterhouseCoopers LLP</w:t>
        </w:r>
      </w:hyperlink>
    </w:p>
    <w:p>
      <w:pPr>
        <w:spacing w:after="0" w:line="60" w:lineRule="exact"/>
        <w:rPr>
          <w:sz w:val="20"/>
          <w:szCs w:val="20"/>
          <w:color w:val="auto"/>
        </w:rPr>
      </w:pPr>
    </w:p>
    <w:p>
      <w:pPr>
        <w:ind w:left="1240"/>
        <w:spacing w:after="0"/>
        <w:tabs>
          <w:tab w:leader="none" w:pos="200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24">
        <w:r>
          <w:rPr>
            <w:rFonts w:ascii="Arial" w:cs="Arial" w:eastAsia="Arial" w:hAnsi="Arial"/>
            <w:sz w:val="17"/>
            <w:szCs w:val="17"/>
            <w:u w:val="single" w:color="auto"/>
            <w:color w:val="0000EE"/>
          </w:rPr>
          <w:t>Consent of Cleary Gottlieb Steen &amp; Hamilton LLP (included in opinion filed as Exhibit 5.1)</w:t>
        </w:r>
      </w:hyperlink>
    </w:p>
    <w:p>
      <w:pPr>
        <w:spacing w:after="0" w:line="60" w:lineRule="exact"/>
        <w:rPr>
          <w:sz w:val="20"/>
          <w:szCs w:val="20"/>
          <w:color w:val="auto"/>
        </w:rPr>
      </w:pPr>
    </w:p>
    <w:p>
      <w:pPr>
        <w:ind w:left="1240"/>
        <w:spacing w:after="0"/>
        <w:tabs>
          <w:tab w:leader="none" w:pos="2000" w:val="left"/>
        </w:tabs>
        <w:rPr>
          <w:rFonts w:ascii="Arial" w:cs="Arial" w:eastAsia="Arial" w:hAnsi="Arial"/>
          <w:sz w:val="17"/>
          <w:szCs w:val="17"/>
          <w:u w:val="single" w:color="auto"/>
          <w:color w:val="0000EE"/>
        </w:rPr>
      </w:pPr>
      <w:r>
        <w:rPr>
          <w:rFonts w:ascii="Arial" w:cs="Arial" w:eastAsia="Arial" w:hAnsi="Arial"/>
          <w:sz w:val="18"/>
          <w:szCs w:val="18"/>
          <w:color w:val="auto"/>
        </w:rPr>
        <w:t>24.1</w:t>
      </w:r>
      <w:r>
        <w:rPr>
          <w:sz w:val="20"/>
          <w:szCs w:val="20"/>
          <w:color w:val="auto"/>
        </w:rPr>
        <w:tab/>
      </w:r>
      <w:hyperlink w:anchor="page22">
        <w:r>
          <w:rPr>
            <w:rFonts w:ascii="Arial" w:cs="Arial" w:eastAsia="Arial" w:hAnsi="Arial"/>
            <w:sz w:val="17"/>
            <w:szCs w:val="17"/>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165735</wp:posOffset>
            </wp:positionV>
            <wp:extent cx="1219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387" w:lineRule="exact"/>
        <w:rPr>
          <w:sz w:val="20"/>
          <w:szCs w:val="20"/>
          <w:color w:val="auto"/>
        </w:rPr>
      </w:pPr>
    </w:p>
    <w:p>
      <w:pPr>
        <w:ind w:left="1600" w:hanging="352"/>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73" w:lineRule="exact"/>
        <w:rPr>
          <w:sz w:val="20"/>
          <w:szCs w:val="20"/>
          <w:color w:val="auto"/>
        </w:rPr>
      </w:pPr>
    </w:p>
    <w:p>
      <w:pPr>
        <w:ind w:left="1600" w:right="1219" w:hanging="352"/>
        <w:spacing w:after="0" w:line="270" w:lineRule="auto"/>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Current Report on Form 8-K and incorporated herein by reference.</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Item 17. Undertakings</w:t>
      </w:r>
    </w:p>
    <w:p>
      <w:pPr>
        <w:spacing w:after="0" w:line="15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undersigned Registrant hereby undertakes:</w:t>
      </w:r>
    </w:p>
    <w:p>
      <w:pPr>
        <w:spacing w:after="0" w:line="153" w:lineRule="exact"/>
        <w:rPr>
          <w:sz w:val="20"/>
          <w:szCs w:val="20"/>
          <w:color w:val="auto"/>
        </w:rPr>
      </w:pPr>
    </w:p>
    <w:p>
      <w:pPr>
        <w:ind w:left="1960" w:right="619" w:hanging="356"/>
        <w:spacing w:after="0" w:line="270"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8" w:lineRule="exact"/>
        <w:rPr>
          <w:rFonts w:ascii="Arial" w:cs="Arial" w:eastAsia="Arial" w:hAnsi="Arial"/>
          <w:sz w:val="18"/>
          <w:szCs w:val="18"/>
          <w:color w:val="auto"/>
        </w:rPr>
      </w:pPr>
    </w:p>
    <w:p>
      <w:pPr>
        <w:ind w:left="2320" w:right="979" w:hanging="360"/>
        <w:spacing w:after="0" w:line="270"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4" w:lineRule="exact"/>
        <w:rPr>
          <w:rFonts w:ascii="Arial" w:cs="Arial" w:eastAsia="Arial" w:hAnsi="Arial"/>
          <w:sz w:val="18"/>
          <w:szCs w:val="18"/>
          <w:color w:val="auto"/>
        </w:rPr>
      </w:pPr>
    </w:p>
    <w:p>
      <w:pPr>
        <w:ind w:left="2320" w:right="499" w:hanging="360"/>
        <w:spacing w:after="0" w:line="266" w:lineRule="auto"/>
        <w:tabs>
          <w:tab w:leader="none" w:pos="23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U.S.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5" w:lineRule="exact"/>
        <w:rPr>
          <w:rFonts w:ascii="Arial" w:cs="Arial" w:eastAsia="Arial" w:hAnsi="Arial"/>
          <w:sz w:val="17"/>
          <w:szCs w:val="17"/>
          <w:color w:val="auto"/>
        </w:rPr>
      </w:pPr>
    </w:p>
    <w:p>
      <w:pPr>
        <w:jc w:val="both"/>
        <w:ind w:left="2320" w:right="839" w:hanging="360"/>
        <w:spacing w:after="0" w:line="258"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20" w:lineRule="exact"/>
        <w:rPr>
          <w:sz w:val="20"/>
          <w:szCs w:val="20"/>
          <w:color w:val="auto"/>
        </w:rPr>
      </w:pPr>
    </w:p>
    <w:p>
      <w:pPr>
        <w:ind w:left="1240" w:right="459"/>
        <w:spacing w:after="0" w:line="252"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the registration statement.</w:t>
      </w:r>
    </w:p>
    <w:p>
      <w:pPr>
        <w:spacing w:after="0" w:line="110" w:lineRule="exact"/>
        <w:rPr>
          <w:sz w:val="20"/>
          <w:szCs w:val="20"/>
          <w:color w:val="auto"/>
        </w:rPr>
      </w:pPr>
    </w:p>
    <w:p>
      <w:pPr>
        <w:ind w:left="1960" w:right="519" w:hanging="356"/>
        <w:spacing w:after="0" w:line="255"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1" w:lineRule="exact"/>
        <w:rPr>
          <w:rFonts w:ascii="Arial" w:cs="Arial" w:eastAsia="Arial" w:hAnsi="Arial"/>
          <w:sz w:val="18"/>
          <w:szCs w:val="18"/>
          <w:color w:val="auto"/>
        </w:rPr>
      </w:pPr>
    </w:p>
    <w:p>
      <w:pPr>
        <w:ind w:left="1960" w:right="679" w:hanging="356"/>
        <w:spacing w:after="0" w:line="270"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9819"/>
          </w:cols>
          <w:pgMar w:left="640" w:top="132" w:right="1440" w:bottom="1440" w:gutter="0" w:footer="0" w:header="0"/>
        </w:sectPr>
      </w:pP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60" w:right="519" w:hanging="356"/>
        <w:spacing w:after="0" w:line="270"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94" w:lineRule="exact"/>
        <w:rPr>
          <w:rFonts w:ascii="Arial" w:cs="Arial" w:eastAsia="Arial" w:hAnsi="Arial"/>
          <w:sz w:val="18"/>
          <w:szCs w:val="18"/>
          <w:color w:val="auto"/>
        </w:rPr>
      </w:pPr>
    </w:p>
    <w:p>
      <w:pPr>
        <w:ind w:left="2320" w:right="539" w:hanging="360"/>
        <w:spacing w:after="0" w:line="258" w:lineRule="auto"/>
        <w:tabs>
          <w:tab w:leader="none" w:pos="2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6" w:lineRule="exact"/>
        <w:rPr>
          <w:rFonts w:ascii="Arial" w:cs="Arial" w:eastAsia="Arial" w:hAnsi="Arial"/>
          <w:sz w:val="18"/>
          <w:szCs w:val="18"/>
          <w:color w:val="auto"/>
        </w:rPr>
      </w:pPr>
    </w:p>
    <w:p>
      <w:pPr>
        <w:ind w:left="2320" w:right="479" w:hanging="360"/>
        <w:spacing w:after="0" w:line="264" w:lineRule="auto"/>
        <w:tabs>
          <w:tab w:leader="none" w:pos="23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0" w:lineRule="exact"/>
        <w:rPr>
          <w:rFonts w:ascii="Arial" w:cs="Arial" w:eastAsia="Arial" w:hAnsi="Arial"/>
          <w:sz w:val="17"/>
          <w:szCs w:val="17"/>
          <w:color w:val="auto"/>
        </w:rPr>
      </w:pPr>
    </w:p>
    <w:p>
      <w:pPr>
        <w:ind w:left="1960" w:right="499" w:hanging="356"/>
        <w:spacing w:after="0" w:line="268" w:lineRule="auto"/>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3" w:lineRule="exact"/>
        <w:rPr>
          <w:rFonts w:ascii="Arial" w:cs="Arial" w:eastAsia="Arial" w:hAnsi="Arial"/>
          <w:sz w:val="17"/>
          <w:szCs w:val="17"/>
          <w:color w:val="auto"/>
        </w:rPr>
      </w:pPr>
    </w:p>
    <w:p>
      <w:pPr>
        <w:ind w:left="2320" w:right="1039" w:hanging="360"/>
        <w:spacing w:after="0" w:line="270" w:lineRule="auto"/>
        <w:tabs>
          <w:tab w:leader="none" w:pos="2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94" w:lineRule="exact"/>
        <w:rPr>
          <w:rFonts w:ascii="Arial" w:cs="Arial" w:eastAsia="Arial" w:hAnsi="Arial"/>
          <w:sz w:val="18"/>
          <w:szCs w:val="18"/>
          <w:color w:val="auto"/>
        </w:rPr>
      </w:pPr>
    </w:p>
    <w:p>
      <w:pPr>
        <w:ind w:left="2320" w:right="1319" w:hanging="360"/>
        <w:spacing w:after="0" w:line="300" w:lineRule="auto"/>
        <w:tabs>
          <w:tab w:leader="none" w:pos="23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85" w:lineRule="exact"/>
        <w:rPr>
          <w:rFonts w:ascii="Arial" w:cs="Arial" w:eastAsia="Arial" w:hAnsi="Arial"/>
          <w:sz w:val="17"/>
          <w:szCs w:val="17"/>
          <w:color w:val="auto"/>
        </w:rPr>
      </w:pPr>
    </w:p>
    <w:p>
      <w:pPr>
        <w:ind w:left="2320" w:right="559" w:hanging="360"/>
        <w:spacing w:after="0" w:line="258" w:lineRule="auto"/>
        <w:tabs>
          <w:tab w:leader="none" w:pos="2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6" w:lineRule="exact"/>
        <w:rPr>
          <w:rFonts w:ascii="Arial" w:cs="Arial" w:eastAsia="Arial" w:hAnsi="Arial"/>
          <w:sz w:val="18"/>
          <w:szCs w:val="18"/>
          <w:color w:val="auto"/>
        </w:rPr>
      </w:pPr>
    </w:p>
    <w:p>
      <w:pPr>
        <w:ind w:left="2320" w:right="579" w:hanging="360"/>
        <w:spacing w:after="0" w:line="270" w:lineRule="auto"/>
        <w:tabs>
          <w:tab w:leader="none" w:pos="23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8" w:lineRule="exact"/>
        <w:rPr>
          <w:rFonts w:ascii="Arial" w:cs="Arial" w:eastAsia="Arial" w:hAnsi="Arial"/>
          <w:sz w:val="18"/>
          <w:szCs w:val="18"/>
          <w:color w:val="auto"/>
        </w:rPr>
      </w:pPr>
    </w:p>
    <w:p>
      <w:pPr>
        <w:ind w:left="1960" w:right="539" w:hanging="356"/>
        <w:spacing w:after="0" w:line="268" w:lineRule="auto"/>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That, for purposes of determining any liability under the Securities Act of 1933, as amended,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00" w:lineRule="exact"/>
        <w:rPr>
          <w:sz w:val="20"/>
          <w:szCs w:val="20"/>
          <w:color w:val="auto"/>
        </w:rPr>
      </w:pPr>
    </w:p>
    <w:p>
      <w:pPr>
        <w:ind w:left="1240" w:right="559" w:firstLine="356"/>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w:t>
      </w:r>
    </w:p>
    <w:p>
      <w:pPr>
        <w:sectPr>
          <w:pgSz w:w="11900" w:h="16838" w:orient="portrait"/>
          <w:cols w:equalWidth="0" w:num="1">
            <w:col w:w="9819"/>
          </w:cols>
          <w:pgMar w:left="640" w:top="131" w:right="1440" w:bottom="1440" w:gutter="0" w:footer="0" w:header="0"/>
        </w:sectPr>
      </w:pPr>
    </w:p>
    <w:p>
      <w:pPr>
        <w:spacing w:after="0" w:line="37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519"/>
        <w:spacing w:after="0" w:line="251" w:lineRule="auto"/>
        <w:rPr>
          <w:sz w:val="20"/>
          <w:szCs w:val="20"/>
          <w:color w:val="auto"/>
        </w:rPr>
      </w:pPr>
      <w:r>
        <w:rPr>
          <w:rFonts w:ascii="Arial" w:cs="Arial" w:eastAsia="Arial" w:hAnsi="Arial"/>
          <w:sz w:val="18"/>
          <w:szCs w:val="18"/>
          <w:color w:val="auto"/>
        </w:rPr>
        <w:t>(other than the payment by the Registrant of expenses incurred or paid by a director, officer or controlling person of a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ind w:left="1240" w:right="459" w:firstLine="356"/>
        <w:spacing w:after="0" w:line="25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London, United Kingdom on August 2, 2021.</w:t>
      </w:r>
    </w:p>
    <w:p>
      <w:pPr>
        <w:spacing w:after="0" w:line="144"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LIVANOVA PLC</w:t>
      </w:r>
    </w:p>
    <w:p>
      <w:pPr>
        <w:spacing w:after="0" w:line="25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38735</wp:posOffset>
            </wp:positionV>
            <wp:extent cx="2507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507615" cy="8255"/>
                    </a:xfrm>
                    <a:prstGeom prst="rect">
                      <a:avLst/>
                    </a:prstGeom>
                    <a:noFill/>
                  </pic:spPr>
                </pic:pic>
              </a:graphicData>
            </a:graphic>
          </wp:anchor>
        </w:drawing>
      </w:r>
    </w:p>
    <w:p>
      <w:pPr>
        <w:spacing w:after="0" w:line="80" w:lineRule="exact"/>
        <w:rPr>
          <w:sz w:val="20"/>
          <w:szCs w:val="20"/>
          <w:color w:val="auto"/>
        </w:rPr>
      </w:pPr>
    </w:p>
    <w:p>
      <w:pPr>
        <w:ind w:left="5420"/>
        <w:spacing w:after="0"/>
        <w:tabs>
          <w:tab w:leader="none" w:pos="6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Alex Shvartsburg</w:t>
      </w:r>
    </w:p>
    <w:p>
      <w:pPr>
        <w:spacing w:after="0" w:line="33" w:lineRule="exact"/>
        <w:rPr>
          <w:sz w:val="20"/>
          <w:szCs w:val="20"/>
          <w:color w:val="auto"/>
        </w:rPr>
      </w:pPr>
    </w:p>
    <w:p>
      <w:pPr>
        <w:ind w:left="5420"/>
        <w:spacing w:after="0"/>
        <w:tabs>
          <w:tab w:leader="none" w:pos="604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POWER OF ATTORNEY</w:t>
      </w:r>
    </w:p>
    <w:p>
      <w:pPr>
        <w:spacing w:after="0" w:line="144" w:lineRule="exact"/>
        <w:rPr>
          <w:sz w:val="20"/>
          <w:szCs w:val="20"/>
          <w:color w:val="auto"/>
        </w:rPr>
      </w:pPr>
    </w:p>
    <w:p>
      <w:pPr>
        <w:ind w:left="1240" w:right="479" w:firstLine="356"/>
        <w:spacing w:after="0" w:line="283" w:lineRule="auto"/>
        <w:rPr>
          <w:sz w:val="20"/>
          <w:szCs w:val="20"/>
          <w:color w:val="auto"/>
        </w:rPr>
      </w:pPr>
      <w:r>
        <w:rPr>
          <w:rFonts w:ascii="Arial" w:cs="Arial" w:eastAsia="Arial" w:hAnsi="Arial"/>
          <w:sz w:val="16"/>
          <w:szCs w:val="16"/>
          <w:color w:val="auto"/>
        </w:rPr>
        <w:t>Each of the undersigned directors of LivaNova PLC., a company organized under the laws of England and Wales, whose signature appears below hereby constitutes and appoints Damien McDonald and Alex Shvartsburg, and each of them acting individually, as his or her true and lawful attorneys-in-fact, each with full power of substitution and resubstitution, for him or her and in his or her name, place and stead, in any and all capacities, to sign any and all amendments to this Registration Statement on Form S-3 or other applicable form, with all exhibits thereto, or any and all amendments (including pre-effective and post-effective amendments) and supplements to a registration statement, and to file the same, with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either of them, or their or his or her substitute or substitutes, may lawfully do or cause to be done by virtue hereof.</w:t>
      </w:r>
    </w:p>
    <w:p>
      <w:pPr>
        <w:spacing w:after="0" w:line="105" w:lineRule="exact"/>
        <w:rPr>
          <w:sz w:val="20"/>
          <w:szCs w:val="20"/>
          <w:color w:val="auto"/>
        </w:rPr>
      </w:pPr>
    </w:p>
    <w:p>
      <w:pPr>
        <w:ind w:left="1240" w:right="539" w:firstLine="356"/>
        <w:spacing w:after="0" w:line="27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3" w:lineRule="exact"/>
        <w:rPr>
          <w:sz w:val="20"/>
          <w:szCs w:val="20"/>
          <w:color w:val="auto"/>
        </w:rPr>
      </w:pPr>
    </w:p>
    <w:p>
      <w:pPr>
        <w:ind w:left="1240"/>
        <w:spacing w:after="0"/>
        <w:tabs>
          <w:tab w:leader="none" w:pos="5160" w:val="left"/>
          <w:tab w:leader="none" w:pos="79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30480</wp:posOffset>
            </wp:positionV>
            <wp:extent cx="5151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151120" cy="825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p>
      <w:pPr>
        <w:spacing w:after="0" w:line="32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Damien McDonald</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Alex Shvartsburg</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William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William Kozy</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Francesco Bianchi</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Stacy Enxing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Stacy Enxing Seng</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Daniel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Daniel Moore</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Alfred J.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Alfred J. Novak</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Sharon O’Kane, Ph.D.</w:t>
      </w:r>
    </w:p>
    <w:p>
      <w:pPr>
        <w:spacing w:after="0" w:line="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Arthur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Arthur L. Rosenthal, Ph.D.</w:t>
      </w:r>
    </w:p>
    <w:p>
      <w:pPr>
        <w:spacing w:after="0" w:line="9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Andrea L. Saia</w:t>
      </w:r>
    </w:p>
    <w:p>
      <w:pPr>
        <w:spacing w:after="0" w:line="8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 Todd C. Schermerhorn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54610</wp:posOffset>
            </wp:positionV>
            <wp:extent cx="1626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10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Todd C. Schermerhorn</w:t>
      </w:r>
    </w:p>
    <w:p>
      <w:pPr>
        <w:spacing w:after="0" w:line="8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Sarah K.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46990</wp:posOffset>
            </wp:positionV>
            <wp:extent cx="1626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Sarah K. Mohr</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jc w:val="center"/>
              <w:ind w:right="371"/>
              <w:spacing w:after="0"/>
              <w:rPr>
                <w:sz w:val="20"/>
                <w:szCs w:val="20"/>
                <w:color w:val="auto"/>
              </w:rPr>
            </w:pPr>
            <w:r>
              <w:rPr>
                <w:rFonts w:ascii="Arial" w:cs="Arial" w:eastAsia="Arial" w:hAnsi="Arial"/>
                <w:sz w:val="18"/>
                <w:szCs w:val="18"/>
                <w:color w:val="auto"/>
                <w:w w:val="96"/>
              </w:rPr>
              <w:t>Chief Executive Officer, 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226"/>
        </w:trPr>
        <w:tc>
          <w:tcPr>
            <w:tcW w:w="3020" w:type="dxa"/>
            <w:vAlign w:val="bottom"/>
          </w:tcPr>
          <w:p>
            <w:pPr>
              <w:jc w:val="center"/>
              <w:ind w:right="371"/>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Executive Officer</w:t>
            </w:r>
            <w:r>
              <w:rPr>
                <w:rFonts w:ascii="Arial" w:cs="Arial" w:eastAsia="Arial" w:hAnsi="Arial"/>
                <w:sz w:val="18"/>
                <w:szCs w:val="18"/>
                <w:color w:val="auto"/>
                <w:w w:val="97"/>
              </w:rPr>
              <w:t>)</w:t>
            </w:r>
          </w:p>
        </w:tc>
        <w:tc>
          <w:tcPr>
            <w:tcW w:w="1600" w:type="dxa"/>
            <w:vAlign w:val="bottom"/>
          </w:tcPr>
          <w:p>
            <w:pPr>
              <w:spacing w:after="0"/>
              <w:rPr>
                <w:sz w:val="19"/>
                <w:szCs w:val="19"/>
                <w:color w:val="auto"/>
              </w:rPr>
            </w:pPr>
          </w:p>
        </w:tc>
      </w:tr>
      <w:tr>
        <w:trPr>
          <w:trHeight w:val="374"/>
        </w:trPr>
        <w:tc>
          <w:tcPr>
            <w:tcW w:w="3020" w:type="dxa"/>
            <w:vAlign w:val="bottom"/>
          </w:tcPr>
          <w:p>
            <w:pPr>
              <w:jc w:val="center"/>
              <w:ind w:right="371"/>
              <w:spacing w:after="0"/>
              <w:rPr>
                <w:sz w:val="20"/>
                <w:szCs w:val="20"/>
                <w:color w:val="auto"/>
              </w:rPr>
            </w:pPr>
            <w:r>
              <w:rPr>
                <w:rFonts w:ascii="Arial" w:cs="Arial" w:eastAsia="Arial" w:hAnsi="Arial"/>
                <w:sz w:val="18"/>
                <w:szCs w:val="18"/>
                <w:color w:val="auto"/>
                <w:w w:val="99"/>
              </w:rPr>
              <w:t>Chief Financial Officer (</w:t>
            </w:r>
            <w:r>
              <w:rPr>
                <w:rFonts w:ascii="Arial" w:cs="Arial" w:eastAsia="Arial" w:hAnsi="Arial"/>
                <w:sz w:val="18"/>
                <w:szCs w:val="18"/>
                <w:i w:val="1"/>
                <w:iCs w:val="1"/>
                <w:color w:val="auto"/>
                <w:w w:val="99"/>
              </w:rPr>
              <w:t>Principal</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213"/>
        </w:trPr>
        <w:tc>
          <w:tcPr>
            <w:tcW w:w="3020" w:type="dxa"/>
            <w:vAlign w:val="bottom"/>
          </w:tcPr>
          <w:p>
            <w:pPr>
              <w:jc w:val="center"/>
              <w:ind w:right="351"/>
              <w:spacing w:after="0"/>
              <w:rPr>
                <w:sz w:val="20"/>
                <w:szCs w:val="20"/>
                <w:color w:val="auto"/>
              </w:rPr>
            </w:pPr>
            <w:r>
              <w:rPr>
                <w:rFonts w:ascii="Arial" w:cs="Arial" w:eastAsia="Arial" w:hAnsi="Arial"/>
                <w:sz w:val="18"/>
                <w:szCs w:val="18"/>
                <w:i w:val="1"/>
                <w:iCs w:val="1"/>
                <w:color w:val="auto"/>
                <w:w w:val="96"/>
              </w:rPr>
              <w:t>Accounting and Financial</w:t>
            </w:r>
          </w:p>
        </w:tc>
        <w:tc>
          <w:tcPr>
            <w:tcW w:w="1600" w:type="dxa"/>
            <w:vAlign w:val="bottom"/>
          </w:tcPr>
          <w:p>
            <w:pPr>
              <w:spacing w:after="0"/>
              <w:rPr>
                <w:sz w:val="18"/>
                <w:szCs w:val="18"/>
                <w:color w:val="auto"/>
              </w:rPr>
            </w:pPr>
          </w:p>
        </w:tc>
      </w:tr>
      <w:tr>
        <w:trPr>
          <w:trHeight w:val="226"/>
        </w:trPr>
        <w:tc>
          <w:tcPr>
            <w:tcW w:w="3020" w:type="dxa"/>
            <w:vAlign w:val="bottom"/>
          </w:tcPr>
          <w:p>
            <w:pPr>
              <w:jc w:val="center"/>
              <w:ind w:right="371"/>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1600" w:type="dxa"/>
            <w:vAlign w:val="bottom"/>
          </w:tcPr>
          <w:p>
            <w:pPr>
              <w:spacing w:after="0"/>
              <w:rPr>
                <w:sz w:val="19"/>
                <w:szCs w:val="19"/>
                <w:color w:val="auto"/>
              </w:rPr>
            </w:pPr>
          </w:p>
        </w:tc>
      </w:tr>
      <w:tr>
        <w:trPr>
          <w:trHeight w:val="281"/>
        </w:trPr>
        <w:tc>
          <w:tcPr>
            <w:tcW w:w="3020" w:type="dxa"/>
            <w:vAlign w:val="bottom"/>
          </w:tcPr>
          <w:p>
            <w:pPr>
              <w:jc w:val="center"/>
              <w:ind w:right="371"/>
              <w:spacing w:after="0"/>
              <w:rPr>
                <w:sz w:val="20"/>
                <w:szCs w:val="20"/>
                <w:color w:val="auto"/>
              </w:rPr>
            </w:pPr>
            <w:r>
              <w:rPr>
                <w:rFonts w:ascii="Arial" w:cs="Arial" w:eastAsia="Arial" w:hAnsi="Arial"/>
                <w:sz w:val="18"/>
                <w:szCs w:val="18"/>
                <w:color w:val="auto"/>
                <w:w w:val="95"/>
              </w:rPr>
              <w:t>Chairman of the Board of</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226"/>
        </w:trPr>
        <w:tc>
          <w:tcPr>
            <w:tcW w:w="3020" w:type="dxa"/>
            <w:vAlign w:val="bottom"/>
          </w:tcPr>
          <w:p>
            <w:pPr>
              <w:jc w:val="center"/>
              <w:ind w:right="371"/>
              <w:spacing w:after="0"/>
              <w:rPr>
                <w:sz w:val="20"/>
                <w:szCs w:val="20"/>
                <w:color w:val="auto"/>
              </w:rPr>
            </w:pPr>
            <w:r>
              <w:rPr>
                <w:rFonts w:ascii="Arial" w:cs="Arial" w:eastAsia="Arial" w:hAnsi="Arial"/>
                <w:sz w:val="18"/>
                <w:szCs w:val="18"/>
                <w:color w:val="auto"/>
                <w:w w:val="94"/>
              </w:rPr>
              <w:t>Directors</w:t>
            </w:r>
          </w:p>
        </w:tc>
        <w:tc>
          <w:tcPr>
            <w:tcW w:w="1600" w:type="dxa"/>
            <w:vAlign w:val="bottom"/>
          </w:tcPr>
          <w:p>
            <w:pPr>
              <w:spacing w:after="0"/>
              <w:rPr>
                <w:sz w:val="19"/>
                <w:szCs w:val="19"/>
                <w:color w:val="auto"/>
              </w:rPr>
            </w:pPr>
          </w:p>
        </w:tc>
      </w:tr>
      <w:tr>
        <w:trPr>
          <w:trHeight w:val="387"/>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00"/>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00"/>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00"/>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00"/>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00"/>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14"/>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14"/>
        </w:trPr>
        <w:tc>
          <w:tcPr>
            <w:tcW w:w="3020" w:type="dxa"/>
            <w:vAlign w:val="bottom"/>
          </w:tcPr>
          <w:p>
            <w:pPr>
              <w:jc w:val="center"/>
              <w:ind w:right="351"/>
              <w:spacing w:after="0"/>
              <w:rPr>
                <w:sz w:val="20"/>
                <w:szCs w:val="20"/>
                <w:color w:val="auto"/>
              </w:rPr>
            </w:pPr>
            <w:r>
              <w:rPr>
                <w:rFonts w:ascii="Arial" w:cs="Arial" w:eastAsia="Arial" w:hAnsi="Arial"/>
                <w:sz w:val="18"/>
                <w:szCs w:val="18"/>
                <w:color w:val="auto"/>
                <w:w w:val="98"/>
              </w:rPr>
              <w:t>Director</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601"/>
        </w:trPr>
        <w:tc>
          <w:tcPr>
            <w:tcW w:w="3020" w:type="dxa"/>
            <w:vAlign w:val="bottom"/>
          </w:tcPr>
          <w:p>
            <w:pPr>
              <w:jc w:val="center"/>
              <w:ind w:right="411"/>
              <w:spacing w:after="0"/>
              <w:rPr>
                <w:sz w:val="20"/>
                <w:szCs w:val="20"/>
                <w:color w:val="auto"/>
              </w:rPr>
            </w:pPr>
            <w:r>
              <w:rPr>
                <w:rFonts w:ascii="Arial" w:cs="Arial" w:eastAsia="Arial" w:hAnsi="Arial"/>
                <w:sz w:val="18"/>
                <w:szCs w:val="18"/>
                <w:color w:val="auto"/>
                <w:w w:val="94"/>
              </w:rPr>
              <w:t>Authorized Representative</w:t>
            </w:r>
          </w:p>
        </w:tc>
        <w:tc>
          <w:tcPr>
            <w:tcW w:w="1600" w:type="dxa"/>
            <w:vAlign w:val="bottom"/>
          </w:tcPr>
          <w:p>
            <w:pPr>
              <w:ind w:left="460"/>
              <w:spacing w:after="0"/>
              <w:rPr>
                <w:sz w:val="20"/>
                <w:szCs w:val="20"/>
                <w:color w:val="auto"/>
              </w:rPr>
            </w:pPr>
            <w:r>
              <w:rPr>
                <w:rFonts w:ascii="Arial" w:cs="Arial" w:eastAsia="Arial" w:hAnsi="Arial"/>
                <w:sz w:val="18"/>
                <w:szCs w:val="18"/>
                <w:color w:val="auto"/>
                <w:w w:val="92"/>
              </w:rPr>
              <w:t>August 2, 2021</w:t>
            </w:r>
          </w:p>
        </w:tc>
      </w:tr>
      <w:tr>
        <w:trPr>
          <w:trHeight w:val="226"/>
        </w:trPr>
        <w:tc>
          <w:tcPr>
            <w:tcW w:w="3020" w:type="dxa"/>
            <w:vAlign w:val="bottom"/>
          </w:tcPr>
          <w:p>
            <w:pPr>
              <w:jc w:val="center"/>
              <w:ind w:right="371"/>
              <w:spacing w:after="0"/>
              <w:rPr>
                <w:sz w:val="20"/>
                <w:szCs w:val="20"/>
                <w:color w:val="auto"/>
              </w:rPr>
            </w:pPr>
            <w:r>
              <w:rPr>
                <w:rFonts w:ascii="Arial" w:cs="Arial" w:eastAsia="Arial" w:hAnsi="Arial"/>
                <w:sz w:val="18"/>
                <w:szCs w:val="18"/>
                <w:color w:val="auto"/>
                <w:w w:val="94"/>
              </w:rPr>
              <w:t>in the United States</w:t>
            </w:r>
          </w:p>
        </w:tc>
        <w:tc>
          <w:tcPr>
            <w:tcW w:w="1600" w:type="dxa"/>
            <w:vAlign w:val="bottom"/>
          </w:tcPr>
          <w:p>
            <w:pPr>
              <w:spacing w:after="0"/>
              <w:rPr>
                <w:sz w:val="19"/>
                <w:szCs w:val="19"/>
                <w:color w:val="auto"/>
              </w:rPr>
            </w:pPr>
          </w:p>
        </w:tc>
      </w:tr>
    </w:tbl>
    <w:p>
      <w:pPr>
        <w:spacing w:after="0" w:line="287" w:lineRule="exact"/>
        <w:rPr>
          <w:sz w:val="20"/>
          <w:szCs w:val="20"/>
          <w:color w:val="auto"/>
        </w:rPr>
      </w:pPr>
    </w:p>
    <w:p>
      <w:pPr>
        <w:sectPr>
          <w:pgSz w:w="11900" w:h="16838" w:orient="portrait"/>
          <w:cols w:equalWidth="0" w:num="2">
            <w:col w:w="3300" w:space="720"/>
            <w:col w:w="5799"/>
          </w:cols>
          <w:pgMar w:left="640" w:top="131" w:right="1440" w:bottom="1440" w:gutter="0" w:footer="0" w:header="0"/>
          <w:type w:val="continuous"/>
        </w:sectPr>
      </w:pP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2084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9645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August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 Eastbourne Terrace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W2 6LG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LivaNova PLC – Registration Statement on Form S-3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6" w:lineRule="exact"/>
        <w:rPr>
          <w:sz w:val="20"/>
          <w:szCs w:val="20"/>
          <w:color w:val="auto"/>
        </w:rPr>
      </w:pPr>
    </w:p>
    <w:p>
      <w:pPr>
        <w:jc w:val="both"/>
        <w:ind w:firstLine="1281"/>
        <w:spacing w:after="0" w:line="290" w:lineRule="auto"/>
        <w:rPr>
          <w:sz w:val="20"/>
          <w:szCs w:val="20"/>
          <w:color w:val="auto"/>
        </w:rPr>
      </w:pPr>
      <w:r>
        <w:rPr>
          <w:rFonts w:ascii="Arial" w:cs="Arial" w:eastAsia="Arial" w:hAnsi="Arial"/>
          <w:sz w:val="16"/>
          <w:szCs w:val="16"/>
          <w:color w:val="auto"/>
        </w:rPr>
        <w:t>We have acted as special English counsel to LivaNova PLC (the “</w:t>
      </w:r>
      <w:r>
        <w:rPr>
          <w:rFonts w:ascii="Arial" w:cs="Arial" w:eastAsia="Arial" w:hAnsi="Arial"/>
          <w:sz w:val="16"/>
          <w:szCs w:val="16"/>
          <w:b w:val="1"/>
          <w:bCs w:val="1"/>
          <w:color w:val="auto"/>
        </w:rPr>
        <w:t>Company</w:t>
      </w:r>
      <w:r>
        <w:rPr>
          <w:rFonts w:ascii="Arial" w:cs="Arial" w:eastAsia="Arial" w:hAnsi="Arial"/>
          <w:sz w:val="16"/>
          <w:szCs w:val="16"/>
          <w:color w:val="auto"/>
        </w:rPr>
        <w:t>”), a public limited company incorporated under the laws of England and Wales, in connection with the preparation and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a registration statement on Form S-3 (such registration statement, including the documents incorporated by reference therein,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relating to the offering from time to time, together or separately, of an unspecified number of (a) ordinary shares with a nominal value of £1 each (the “</w:t>
      </w:r>
      <w:r>
        <w:rPr>
          <w:rFonts w:ascii="Arial" w:cs="Arial" w:eastAsia="Arial" w:hAnsi="Arial"/>
          <w:sz w:val="16"/>
          <w:szCs w:val="16"/>
          <w:b w:val="1"/>
          <w:bCs w:val="1"/>
          <w:color w:val="auto"/>
        </w:rPr>
        <w:t>Ordinary Shares</w:t>
      </w:r>
      <w:r>
        <w:rPr>
          <w:rFonts w:ascii="Arial" w:cs="Arial" w:eastAsia="Arial" w:hAnsi="Arial"/>
          <w:sz w:val="16"/>
          <w:szCs w:val="16"/>
          <w:color w:val="auto"/>
        </w:rPr>
        <w:t>”), (b) preferred shares (the “</w:t>
      </w:r>
      <w:r>
        <w:rPr>
          <w:rFonts w:ascii="Arial" w:cs="Arial" w:eastAsia="Arial" w:hAnsi="Arial"/>
          <w:sz w:val="16"/>
          <w:szCs w:val="16"/>
          <w:b w:val="1"/>
          <w:bCs w:val="1"/>
          <w:color w:val="auto"/>
        </w:rPr>
        <w:t>Preferred Shares</w:t>
      </w:r>
      <w:r>
        <w:rPr>
          <w:rFonts w:ascii="Arial" w:cs="Arial" w:eastAsia="Arial" w:hAnsi="Arial"/>
          <w:sz w:val="16"/>
          <w:szCs w:val="16"/>
          <w:color w:val="auto"/>
        </w:rPr>
        <w:t>”) and (c) rights to subscribe for ordinary and/or preferred shares (the “</w:t>
      </w:r>
      <w:r>
        <w:rPr>
          <w:rFonts w:ascii="Arial" w:cs="Arial" w:eastAsia="Arial" w:hAnsi="Arial"/>
          <w:sz w:val="16"/>
          <w:szCs w:val="16"/>
          <w:b w:val="1"/>
          <w:bCs w:val="1"/>
          <w:color w:val="auto"/>
        </w:rPr>
        <w:t>Rights</w:t>
      </w:r>
      <w:r>
        <w:rPr>
          <w:rFonts w:ascii="Arial" w:cs="Arial" w:eastAsia="Arial" w:hAnsi="Arial"/>
          <w:sz w:val="16"/>
          <w:szCs w:val="16"/>
          <w:color w:val="auto"/>
        </w:rPr>
        <w:t>” and collectively with the Ordinary Shares and the Preferred Shares,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64"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The Securities being registered under the Registration Statement will have an indeterminate aggregate initial offering price and will be offered on a continuous or delayed basis pursuant to the provisions of Rule 415 under the Securities Act.</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 We have taken instruction in this regard solely from the Company.</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We understand that the Securities are not and are not intended to be admitted to trading on any market or exchange, or otherwise listed, in the United Kingdom.</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220" w:lineRule="exact"/>
        <w:rPr>
          <w:sz w:val="20"/>
          <w:szCs w:val="20"/>
          <w:color w:val="auto"/>
        </w:rPr>
      </w:pPr>
    </w:p>
    <w:p>
      <w:pPr>
        <w:ind w:left="1880" w:hanging="619"/>
        <w:spacing w:after="0"/>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1021715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148590</wp:posOffset>
            </wp:positionV>
            <wp:extent cx="6354445" cy="415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354445" cy="4152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jc w:val="both"/>
        <w:ind w:left="760" w:hanging="619"/>
        <w:spacing w:after="0" w:line="261"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certificate dated 2 August] 2021 signed by an authorised signatory of the Company (the “</w:t>
      </w:r>
      <w:r>
        <w:rPr>
          <w:rFonts w:ascii="Arial" w:cs="Arial" w:eastAsia="Arial" w:hAnsi="Arial"/>
          <w:sz w:val="18"/>
          <w:szCs w:val="18"/>
          <w:b w:val="1"/>
          <w:bCs w:val="1"/>
          <w:color w:val="auto"/>
        </w:rPr>
        <w:t>Company’s Certificate</w:t>
      </w:r>
      <w:r>
        <w:rPr>
          <w:rFonts w:ascii="Arial" w:cs="Arial" w:eastAsia="Arial" w:hAnsi="Arial"/>
          <w:sz w:val="18"/>
          <w:szCs w:val="18"/>
          <w:color w:val="auto"/>
        </w:rPr>
        <w:t>”) relating to certain factual matters and having annexed thereto and certified as true, complete and up-to-date a copy of the current articles of association of the Company adopted with effect from 29 June 2020.</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rendering the opinions expressed below we have assumed and not verified:</w:t>
      </w:r>
    </w:p>
    <w:p>
      <w:pPr>
        <w:spacing w:after="0" w:line="220" w:lineRule="exact"/>
        <w:rPr>
          <w:sz w:val="20"/>
          <w:szCs w:val="20"/>
          <w:color w:val="auto"/>
        </w:rPr>
      </w:pPr>
    </w:p>
    <w:p>
      <w:pPr>
        <w:ind w:left="800" w:hanging="632"/>
        <w:spacing w:after="0" w:line="27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the authenticity and completeness of all documents supplied to us and the conformity to the originals of all documents supplied to us as photocopies, facsimile or electronic copies;</w:t>
      </w:r>
    </w:p>
    <w:p>
      <w:pPr>
        <w:spacing w:after="0" w:line="174" w:lineRule="exact"/>
        <w:rPr>
          <w:rFonts w:ascii="Arial" w:cs="Arial" w:eastAsia="Arial" w:hAnsi="Arial"/>
          <w:sz w:val="18"/>
          <w:szCs w:val="18"/>
          <w:color w:val="auto"/>
        </w:rPr>
      </w:pPr>
    </w:p>
    <w:p>
      <w:pPr>
        <w:ind w:left="800" w:right="20" w:hanging="632"/>
        <w:spacing w:after="0" w:line="27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specimen or certificated form, it has been or will be executed in the form of that draft, specimen or certificate;</w:t>
      </w:r>
    </w:p>
    <w:p>
      <w:pPr>
        <w:spacing w:after="0" w:line="174" w:lineRule="exact"/>
        <w:rPr>
          <w:rFonts w:ascii="Arial" w:cs="Arial" w:eastAsia="Arial" w:hAnsi="Arial"/>
          <w:sz w:val="18"/>
          <w:szCs w:val="18"/>
          <w:color w:val="auto"/>
        </w:rPr>
      </w:pPr>
    </w:p>
    <w:p>
      <w:pPr>
        <w:ind w:left="800" w:hanging="632"/>
        <w:spacing w:after="0" w:line="27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accuracy as to factual matters of each document we have reviewed, including, without limitation, the accuracy and completeness of all statements in the Company’s Certificate;</w:t>
      </w:r>
    </w:p>
    <w:p>
      <w:pPr>
        <w:spacing w:after="0" w:line="174" w:lineRule="exact"/>
        <w:rPr>
          <w:rFonts w:ascii="Arial" w:cs="Arial" w:eastAsia="Arial" w:hAnsi="Arial"/>
          <w:sz w:val="18"/>
          <w:szCs w:val="18"/>
          <w:color w:val="auto"/>
        </w:rPr>
      </w:pPr>
    </w:p>
    <w:p>
      <w:pPr>
        <w:jc w:val="both"/>
        <w:ind w:left="800" w:hanging="632"/>
        <w:spacing w:after="0" w:line="25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Company has fully complied with its obligations under all applicable anti-terrorism, anti-money laundering, sanctions and human rights legislation, and that each allotment and issue of Securities in the manner contemplated in the Registration Statement will be compliant with such laws;</w:t>
      </w:r>
    </w:p>
    <w:p>
      <w:pPr>
        <w:spacing w:after="0" w:line="186" w:lineRule="exact"/>
        <w:rPr>
          <w:rFonts w:ascii="Arial" w:cs="Arial" w:eastAsia="Arial" w:hAnsi="Arial"/>
          <w:sz w:val="18"/>
          <w:szCs w:val="18"/>
          <w:color w:val="auto"/>
        </w:rPr>
      </w:pPr>
    </w:p>
    <w:p>
      <w:pPr>
        <w:ind w:left="800" w:hanging="632"/>
        <w:spacing w:after="0" w:line="270"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no document has been entered into by any of the parties thereto in connection with any money laundering or any other unlawful activity;</w:t>
      </w:r>
    </w:p>
    <w:p>
      <w:pPr>
        <w:spacing w:after="0" w:line="174" w:lineRule="exact"/>
        <w:rPr>
          <w:rFonts w:ascii="Arial" w:cs="Arial" w:eastAsia="Arial" w:hAnsi="Arial"/>
          <w:sz w:val="18"/>
          <w:szCs w:val="18"/>
          <w:color w:val="auto"/>
        </w:rPr>
      </w:pPr>
    </w:p>
    <w:p>
      <w:pPr>
        <w:jc w:val="both"/>
        <w:ind w:left="800" w:hanging="632"/>
        <w:spacing w:after="0" w:line="25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all consents, approvals, notices, filings and registrations which are necessary under any applicable laws or regulations (other than laws or regulations of England and Wales) in order to permit the allotment and issue of any Securities in the manner contemplated in the Registration Statement have been or will be duly made or obtained;</w:t>
      </w:r>
    </w:p>
    <w:p>
      <w:pPr>
        <w:spacing w:after="0" w:line="186" w:lineRule="exact"/>
        <w:rPr>
          <w:rFonts w:ascii="Arial" w:cs="Arial" w:eastAsia="Arial" w:hAnsi="Arial"/>
          <w:sz w:val="18"/>
          <w:szCs w:val="18"/>
          <w:color w:val="auto"/>
        </w:rPr>
      </w:pPr>
    </w:p>
    <w:p>
      <w:pPr>
        <w:jc w:val="both"/>
        <w:ind w:left="800" w:hanging="632"/>
        <w:spacing w:after="0" w:line="25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186" w:lineRule="exact"/>
        <w:rPr>
          <w:rFonts w:ascii="Arial" w:cs="Arial" w:eastAsia="Arial" w:hAnsi="Arial"/>
          <w:sz w:val="18"/>
          <w:szCs w:val="18"/>
          <w:color w:val="auto"/>
        </w:rPr>
      </w:pPr>
    </w:p>
    <w:p>
      <w:pPr>
        <w:jc w:val="both"/>
        <w:ind w:left="800" w:hanging="632"/>
        <w:spacing w:after="0" w:line="274"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the Company has complied with all applicable provisions of the Financial Services Act 2012 and the Financial Services and Markets Act 2000, as amended (the “</w:t>
      </w:r>
      <w:r>
        <w:rPr>
          <w:rFonts w:ascii="Arial" w:cs="Arial" w:eastAsia="Arial" w:hAnsi="Arial"/>
          <w:sz w:val="17"/>
          <w:szCs w:val="17"/>
          <w:b w:val="1"/>
          <w:bCs w:val="1"/>
          <w:color w:val="auto"/>
        </w:rPr>
        <w:t>FSMA</w:t>
      </w:r>
      <w:r>
        <w:rPr>
          <w:rFonts w:ascii="Arial" w:cs="Arial" w:eastAsia="Arial" w:hAnsi="Arial"/>
          <w:sz w:val="17"/>
          <w:szCs w:val="17"/>
          <w:color w:val="auto"/>
        </w:rPr>
        <w:t>”) and any applicable secondary legislation made under any of the foregoing with respect to anything done by the Company in relation to the Securities from or otherwise involving the United Kingdom (including Sections 19 (carrying on a regulated activity), 21 (financial promotion), and 85 (public offers) of FSMA);</w:t>
      </w:r>
    </w:p>
    <w:p>
      <w:pPr>
        <w:spacing w:after="0" w:line="3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25" w:name="page26"/>
    <w:bookmarkEnd w:id="25"/>
    <w:p>
      <w:pPr>
        <w:jc w:val="both"/>
        <w:ind w:left="1920" w:hanging="632"/>
        <w:spacing w:after="0" w:line="287"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that at the time the Board allots any Securities, or grants any rights to subscribe for or to convert any security into Securities, it: (i) is authorized to do so for the purposes of section 551 of the Companies Act 2006 (the “</w:t>
      </w:r>
      <w:r>
        <w:rPr>
          <w:rFonts w:ascii="Arial" w:cs="Arial" w:eastAsia="Arial" w:hAnsi="Arial"/>
          <w:sz w:val="16"/>
          <w:szCs w:val="16"/>
          <w:b w:val="1"/>
          <w:bCs w:val="1"/>
          <w:color w:val="auto"/>
        </w:rPr>
        <w:t>Companies Act</w:t>
      </w:r>
      <w:r>
        <w:rPr>
          <w:rFonts w:ascii="Arial" w:cs="Arial" w:eastAsia="Arial" w:hAnsi="Arial"/>
          <w:sz w:val="16"/>
          <w:szCs w:val="16"/>
          <w:color w:val="auto"/>
        </w:rPr>
        <w:t>”) pursuant to an ordinary resolution validly passed by the Company’s shareholders or the Company’s articles of association in force at that time; and (ii) as may be required, has the power to do so free of the restrictions in section 561 of the Companies Act pursuant to a special resolution validly passed by the Company’s shareholders or the Company’s articles of association in force at that time for the purposes of sections 570 or 571 of the Companies Act, and in each case where relevant such resolutions and authorities remaining in full force and effect and not having expired, been rescinded or amended;</w:t>
      </w:r>
    </w:p>
    <w:p>
      <w:pPr>
        <w:spacing w:after="0" w:line="167" w:lineRule="exact"/>
        <w:rPr>
          <w:rFonts w:ascii="Arial" w:cs="Arial" w:eastAsia="Arial" w:hAnsi="Arial"/>
          <w:sz w:val="16"/>
          <w:szCs w:val="16"/>
          <w:color w:val="auto"/>
        </w:rPr>
      </w:pPr>
    </w:p>
    <w:p>
      <w:pPr>
        <w:jc w:val="both"/>
        <w:ind w:left="1920" w:hanging="632"/>
        <w:spacing w:after="0" w:line="255"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Securities the Company shall have received in full consideration equal to the subscription price or other consideration for such Securities and shall have entered the holder or holders thereof in the register of members of the Company showing that all such Securities shall have been fully paid up as to their nominal value and any premium thereon as at each allotment date; and</w:t>
      </w:r>
    </w:p>
    <w:p>
      <w:pPr>
        <w:spacing w:after="0" w:line="187" w:lineRule="exact"/>
        <w:rPr>
          <w:rFonts w:ascii="Arial" w:cs="Arial" w:eastAsia="Arial" w:hAnsi="Arial"/>
          <w:sz w:val="18"/>
          <w:szCs w:val="18"/>
          <w:color w:val="auto"/>
        </w:rPr>
      </w:pPr>
    </w:p>
    <w:p>
      <w:pPr>
        <w:ind w:left="1920" w:hanging="632"/>
        <w:spacing w:after="0" w:line="270"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at the time of each issue of any Securities, the issue price or other consideration for such issue is not less than the nominal value, if any, of the Security.</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Based on the foregoing, and subject to the further qualifications and limitations set forth below, it is our opinion that:</w:t>
      </w:r>
    </w:p>
    <w:p>
      <w:pPr>
        <w:spacing w:after="0" w:line="220" w:lineRule="exact"/>
        <w:rPr>
          <w:sz w:val="20"/>
          <w:szCs w:val="20"/>
          <w:color w:val="auto"/>
        </w:rPr>
      </w:pPr>
    </w:p>
    <w:p>
      <w:pPr>
        <w:jc w:val="both"/>
        <w:ind w:firstLine="647"/>
        <w:spacing w:after="0" w:line="296" w:lineRule="auto"/>
        <w:tabs>
          <w:tab w:leader="none" w:pos="13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Ordinary Shares, when issued in accordance with all necessary corporate action of the Company and the provisions of the Company’s articles of association in force at that time, and subject to receipt by the Company of the aggregate issue price or other consideration in respect of such Ordinary Shares, will be validly issued, fully paid and non-assessable (for the purposes of this opinion, “non-assessable” means that no further contributions in respect of the Securities will be required to be made to the Company by the holders thereof, by reason solely of their being such holders).</w:t>
      </w:r>
    </w:p>
    <w:p>
      <w:pPr>
        <w:spacing w:after="0" w:line="159" w:lineRule="exact"/>
        <w:rPr>
          <w:rFonts w:ascii="Arial" w:cs="Arial" w:eastAsia="Arial" w:hAnsi="Arial"/>
          <w:sz w:val="16"/>
          <w:szCs w:val="16"/>
          <w:color w:val="auto"/>
        </w:rPr>
      </w:pPr>
    </w:p>
    <w:p>
      <w:pPr>
        <w:jc w:val="both"/>
        <w:ind w:firstLine="647"/>
        <w:spacing w:after="0" w:line="258" w:lineRule="auto"/>
        <w:tabs>
          <w:tab w:leader="none" w:pos="13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Preferred Shares, when issued in accordance with all necessary corporate action of the Company and the provisions of the Company’s articles of association in force at that time, and subject to receipt by the Company of the aggregate issue price or other consideration in respect of such Preferred Shares, will be validly issued, fully paid and non-assessable.</w:t>
      </w:r>
    </w:p>
    <w:p>
      <w:pPr>
        <w:spacing w:after="0" w:line="186" w:lineRule="exact"/>
        <w:rPr>
          <w:rFonts w:ascii="Arial" w:cs="Arial" w:eastAsia="Arial" w:hAnsi="Arial"/>
          <w:sz w:val="18"/>
          <w:szCs w:val="18"/>
          <w:color w:val="auto"/>
        </w:rPr>
      </w:pPr>
    </w:p>
    <w:p>
      <w:pPr>
        <w:ind w:firstLine="647"/>
        <w:spacing w:after="0" w:line="333" w:lineRule="auto"/>
        <w:tabs>
          <w:tab w:leader="none" w:pos="13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Rights, when issued in accordance with all necessary corporate action of the Company in the manner contemplated in the Registration Statement, and upon due and execution and delivery of the Rights, will be the valid, binding and enforceable obligations of the Company.</w:t>
      </w:r>
    </w:p>
    <w:p>
      <w:pPr>
        <w:spacing w:after="0" w:line="130"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7"/>
          <w:szCs w:val="17"/>
          <w:color w:val="auto"/>
        </w:rPr>
        <w:t>The expression “enforceable” as used in paragraph 3 above means that the obligations assumed by the relevant party under the relevant document are of a type which English courts enforce. The foregoing does not mean that obligations assumed by the relevant party under the relevant document will necessarily be enforced in all circumstances in accordance with their terms. In particular, but without limitation: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both"/>
        <w:ind w:left="1920" w:hanging="632"/>
        <w:spacing w:after="0" w:line="306" w:lineRule="auto"/>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opinions set forth above as regards the binding effect and validity of the obligations and their enforceability against contracting parties is subject to all limitations resulting from the laws of bankruptcy, administration, liquidation, insolvency, fraudulent transfer, reorganisation, moratorium, suretyship or any similar laws of general application affecting creditors’ rights.</w:t>
      </w:r>
    </w:p>
    <w:p>
      <w:pPr>
        <w:spacing w:after="0" w:line="150" w:lineRule="exact"/>
        <w:rPr>
          <w:rFonts w:ascii="Arial" w:cs="Arial" w:eastAsia="Arial" w:hAnsi="Arial"/>
          <w:sz w:val="16"/>
          <w:szCs w:val="16"/>
          <w:color w:val="auto"/>
        </w:rPr>
      </w:pPr>
    </w:p>
    <w:p>
      <w:pPr>
        <w:ind w:left="1920" w:hanging="632"/>
        <w:spacing w:after="0" w:line="270"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Enforcement may be limited by general principles of equity. For example, equitable remedies may not be available where damages are considered to be an adequate remedy.</w:t>
      </w:r>
    </w:p>
    <w:p>
      <w:pPr>
        <w:spacing w:after="0" w:line="174" w:lineRule="exact"/>
        <w:rPr>
          <w:rFonts w:ascii="Arial" w:cs="Arial" w:eastAsia="Arial" w:hAnsi="Arial"/>
          <w:sz w:val="18"/>
          <w:szCs w:val="18"/>
          <w:color w:val="auto"/>
        </w:rPr>
      </w:pPr>
    </w:p>
    <w:p>
      <w:pPr>
        <w:jc w:val="both"/>
        <w:ind w:left="1920" w:hanging="632"/>
        <w:spacing w:after="0" w:line="255"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any obligations of any person are to be performed or observed in jurisdictions outside England and Wales, or by a person subject to the laws of a jurisdiction outside England and Wales, such obligations may not be enforceable under English law to the extent that the performance or observance thereof would be illegal or contrary to public policy under the laws of any such jurisdiction.</w:t>
      </w:r>
    </w:p>
    <w:p>
      <w:pPr>
        <w:spacing w:after="0" w:line="187" w:lineRule="exact"/>
        <w:rPr>
          <w:rFonts w:ascii="Arial" w:cs="Arial" w:eastAsia="Arial" w:hAnsi="Arial"/>
          <w:sz w:val="18"/>
          <w:szCs w:val="18"/>
          <w:color w:val="auto"/>
        </w:rPr>
      </w:pPr>
    </w:p>
    <w:p>
      <w:pPr>
        <w:jc w:val="both"/>
        <w:ind w:left="1920" w:hanging="632"/>
        <w:spacing w:after="0" w:line="274" w:lineRule="auto"/>
        <w:tabs>
          <w:tab w:leader="none" w:pos="1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provision providing that any calculation, certification, determination, notification, minute or opinion will be conclusive and binding will not be effective if such calculation, certification, determination, notification, minute or opinion is fraudulent or made on an unreasonable or arbitrary basis or in the event of manifest error despite any provision to the contrary and it will not necessarily prevent judicial enquiry into the merits of any claim by any party thereto.</w:t>
      </w:r>
    </w:p>
    <w:p>
      <w:pPr>
        <w:spacing w:after="0" w:line="174" w:lineRule="exact"/>
        <w:rPr>
          <w:rFonts w:ascii="Arial" w:cs="Arial" w:eastAsia="Arial" w:hAnsi="Arial"/>
          <w:sz w:val="17"/>
          <w:szCs w:val="17"/>
          <w:color w:val="auto"/>
        </w:rPr>
      </w:pPr>
    </w:p>
    <w:p>
      <w:pPr>
        <w:ind w:left="1920" w:hanging="632"/>
        <w:spacing w:after="0" w:line="270"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any person is vested with a discretion, or may determine any matter in its opinion, English law may require that such discretion is exercised reasonably or that such opinion is based on reasonable grounds.</w:t>
      </w:r>
    </w:p>
    <w:p>
      <w:pPr>
        <w:spacing w:after="0" w:line="174" w:lineRule="exact"/>
        <w:rPr>
          <w:rFonts w:ascii="Arial" w:cs="Arial" w:eastAsia="Arial" w:hAnsi="Arial"/>
          <w:sz w:val="18"/>
          <w:szCs w:val="18"/>
          <w:color w:val="auto"/>
        </w:rPr>
      </w:pPr>
    </w:p>
    <w:p>
      <w:pPr>
        <w:ind w:left="1920" w:hanging="632"/>
        <w:spacing w:after="0" w:line="270"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Enforcement of rights may be or become limited by prescription or by lapse of time or may become subject to defences of set-off or counterclaim.</w:t>
      </w:r>
    </w:p>
    <w:p>
      <w:pPr>
        <w:spacing w:after="0" w:line="175"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The opinions set out above are limited to the laws of England and Wales in force as at the date of this opinion letter (taking into account the effect of the Agreement on the withdrawal of the United Kingdom of Great Britain and Northern Ireland from the European Union and the European Atomic Energy Community and the European Union (Withdrawal) Act 2018), as currently applied by the courts in England and Wales, and are given on the basis that this opinion letter and any non-contractual obligations arising out of or in connection with it will be governed by and construed in accordance with English law.</w:t>
      </w:r>
    </w:p>
    <w:p>
      <w:pPr>
        <w:spacing w:after="0" w:line="190" w:lineRule="exact"/>
        <w:rPr>
          <w:sz w:val="20"/>
          <w:szCs w:val="20"/>
          <w:color w:val="auto"/>
        </w:rPr>
      </w:pPr>
    </w:p>
    <w:p>
      <w:pPr>
        <w:jc w:val="both"/>
        <w:ind w:firstLine="1281"/>
        <w:spacing w:after="0" w:line="274" w:lineRule="auto"/>
        <w:rPr>
          <w:sz w:val="20"/>
          <w:szCs w:val="20"/>
          <w:color w:val="auto"/>
        </w:rPr>
      </w:pPr>
      <w:r>
        <w:rPr>
          <w:rFonts w:ascii="Arial" w:cs="Arial" w:eastAsia="Arial" w:hAnsi="Arial"/>
          <w:sz w:val="17"/>
          <w:szCs w:val="17"/>
          <w:color w:val="auto"/>
        </w:rPr>
        <w:t>We hereby consent to the use of our name in the prospectus constituting a part of the Registration Statement and to the use of this opinion as a part (Exhibit 5.1) of the Registration Statement under the caption “Legal Matters” as counsel for the Company who have passed on the validity of the Securities being registered by the Registration Statement. In giving such consent, we do not thereby admit that we are within the category of persons whose consent is required under Section 7 of the Securities Act or the rules and regulations of the Commission thereunder.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 w:name="page28"/>
    <w:bookmarkEnd w:id="27"/>
    <w:p>
      <w:pPr>
        <w:jc w:val="both"/>
        <w:ind w:firstLine="1281"/>
        <w:spacing w:after="0" w:line="258" w:lineRule="auto"/>
        <w:rPr>
          <w:sz w:val="20"/>
          <w:szCs w:val="20"/>
          <w:color w:val="auto"/>
        </w:rPr>
      </w:pPr>
      <w:r>
        <w:rPr>
          <w:rFonts w:ascii="Arial" w:cs="Arial" w:eastAsia="Arial" w:hAnsi="Arial"/>
          <w:sz w:val="18"/>
          <w:szCs w:val="18"/>
          <w:color w:val="auto"/>
        </w:rPr>
        <w:t>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CLEARY GOTTLIEB STEEN &amp; HAMILTON LLP</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Sam Bagot</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 Bagot,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-130175</wp:posOffset>
            </wp:positionV>
            <wp:extent cx="32791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LivaNova PLC of our report dated March 1, 2021 relating to the financial statements and the effectiveness of internal control over financial reporting, which appears in LivaNova PLC's Annual Report on Form 10-K for the year ended December 31, 2020. We also consent to the reference to us under the heading “Experts” in such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44"/>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lvl w:ilvl="1">
      <w:lvlJc w:val="left"/>
      <w:lvlText w:val="(%2)"/>
      <w:numFmt w:val="lowerRoman"/>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1)"/>
      <w:numFmt w:val="decimal"/>
      <w:start w:val="4"/>
    </w:lvl>
    <w:lvl w:ilvl="1">
      <w:lvlJc w:val="left"/>
      <w:lvlText w:val="(%2)"/>
      <w:numFmt w:val="lowerRoman"/>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9"/>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jpeg"/><Relationship Id="rId64" Type="http://schemas.openxmlformats.org/officeDocument/2006/relationships/image" Target="media/image48.png"/><Relationship Id="rId65" Type="http://schemas.openxmlformats.org/officeDocument/2006/relationships/image" Target="media/image49.jpe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17" Type="http://schemas.openxmlformats.org/officeDocument/2006/relationships/hyperlink" Target="http://www.sec.gov/ix?doc=/Archives/edgar/data/1639691/000163969121000016/livn-20201231.htm" TargetMode="External"/><Relationship Id="rId18" Type="http://schemas.openxmlformats.org/officeDocument/2006/relationships/hyperlink" Target="http://www.sec.gov/Archives/edgar/data/1639691/000163969121000016/livn-20201231xex41.htm" TargetMode="External"/><Relationship Id="rId19" Type="http://schemas.openxmlformats.org/officeDocument/2006/relationships/hyperlink" Target="http://www.sec.gov/ix?doc=/Archives/edgar/data/1639691/000163969121000047/livn-20210331.htm" TargetMode="External"/><Relationship Id="rId20" Type="http://schemas.openxmlformats.org/officeDocument/2006/relationships/hyperlink" Target="http://www.sec.gov/ix?doc=/Archives/edgar/data/1639691/000163969121000091/livn-20210630.htm" TargetMode="External"/><Relationship Id="rId21" Type="http://schemas.openxmlformats.org/officeDocument/2006/relationships/hyperlink" Target="http://www.sec.gov/ix?doc=/Archives/edgar/data/1639691/000163969121000011/livn-20210224.htm" TargetMode="External"/><Relationship Id="rId22" Type="http://schemas.openxmlformats.org/officeDocument/2006/relationships/hyperlink" Target="http://www.sec.gov/ix?doc=/Archives/edgar/data/1639691/000163969121000035/livn-20210409.htm" TargetMode="External"/><Relationship Id="rId23" Type="http://schemas.openxmlformats.org/officeDocument/2006/relationships/hyperlink" Target="http://www.sec.gov/ix?doc=/Archives/edgar/data/1639691/000163969121000058/livn-20210609.htm" TargetMode="External"/><Relationship Id="rId24" Type="http://schemas.openxmlformats.org/officeDocument/2006/relationships/hyperlink" Target="http://www.sec.gov/Archives/edgar/data/1639691/000110465921058192/tm2113973-1_def14a.htm" TargetMode="External"/><Relationship Id="rId42" Type="http://schemas.openxmlformats.org/officeDocument/2006/relationships/hyperlink" Target="http://www.sec.gov/Archives/edgar/data/1639691/000163969120000098/livn-20200630x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2021-08-02T15:20:52Z</dcterms:created>
  <dcterms:modified xsi:type="dcterms:W3CDTF">2021-08-02T15:20:52Z</dcterms:modified>
</cp:coreProperties>
</file>