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May 30, 2024</w:t>
      </w:r>
    </w:p>
    <w:p>
      <w:pPr>
        <w:spacing w:after="0" w:line="278" w:lineRule="exact"/>
        <w:rPr>
          <w:sz w:val="24"/>
          <w:szCs w:val="24"/>
          <w:color w:val="auto"/>
        </w:rPr>
      </w:pPr>
    </w:p>
    <w:p>
      <w:pPr>
        <w:ind w:left="4916"/>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10" w:lineRule="exact"/>
        <w:rPr>
          <w:sz w:val="24"/>
          <w:szCs w:val="24"/>
          <w:color w:val="auto"/>
        </w:rPr>
      </w:pPr>
    </w:p>
    <w:p>
      <w:pPr>
        <w:ind w:left="3856"/>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6"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FORM SD</w:t>
      </w:r>
    </w:p>
    <w:p>
      <w:pPr>
        <w:spacing w:after="0" w:line="31"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125730</wp:posOffset>
            </wp:positionV>
            <wp:extent cx="1637665" cy="469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7665" cy="469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275"/>
        <w:spacing w:after="0"/>
        <w:rPr>
          <w:sz w:val="20"/>
          <w:szCs w:val="20"/>
          <w:color w:val="auto"/>
        </w:rPr>
      </w:pPr>
      <w:r>
        <w:rPr>
          <w:rFonts w:ascii="Times New Roman" w:cs="Times New Roman" w:eastAsia="Times New Roman" w:hAnsi="Times New Roman"/>
          <w:sz w:val="15"/>
          <w:szCs w:val="15"/>
          <w:b w:val="1"/>
          <w:bCs w:val="1"/>
          <w:color w:val="auto"/>
        </w:rPr>
        <w:t>LivaNova PLC</w:t>
      </w:r>
    </w:p>
    <w:p>
      <w:pPr>
        <w:sectPr>
          <w:pgSz w:w="11900" w:h="16838" w:orient="portrait"/>
          <w:cols w:equalWidth="0" w:num="1">
            <w:col w:w="10776"/>
          </w:cols>
          <w:pgMar w:left="424" w:top="1439"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1556"/>
        <w:spacing w:after="0"/>
        <w:rPr>
          <w:sz w:val="20"/>
          <w:szCs w:val="20"/>
          <w:color w:val="auto"/>
        </w:rPr>
      </w:pPr>
      <w:r>
        <w:rPr>
          <w:rFonts w:ascii="Times New Roman" w:cs="Times New Roman" w:eastAsia="Times New Roman" w:hAnsi="Times New Roman"/>
          <w:sz w:val="15"/>
          <w:szCs w:val="15"/>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5"/>
          <w:szCs w:val="15"/>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98-1268150</w:t>
      </w:r>
    </w:p>
    <w:p>
      <w:pPr>
        <w:spacing w:after="0" w:line="40" w:lineRule="exact"/>
        <w:rPr>
          <w:sz w:val="24"/>
          <w:szCs w:val="24"/>
          <w:color w:val="auto"/>
        </w:rPr>
      </w:pPr>
    </w:p>
    <w:p>
      <w:pPr>
        <w:sectPr>
          <w:pgSz w:w="11900" w:h="16838" w:orient="portrait"/>
          <w:cols w:equalWidth="0" w:num="3">
            <w:col w:w="4476" w:space="720"/>
            <w:col w:w="2560" w:space="720"/>
            <w:col w:w="2300"/>
          </w:cols>
          <w:pgMar w:left="424" w:top="1439" w:right="699" w:bottom="1440" w:gutter="0" w:footer="0" w:header="0"/>
          <w:type w:val="continuous"/>
        </w:sectPr>
      </w:pPr>
    </w:p>
    <w:p>
      <w:pPr>
        <w:ind w:left="796"/>
        <w:spacing w:after="0"/>
        <w:rPr>
          <w:sz w:val="20"/>
          <w:szCs w:val="20"/>
          <w:color w:val="auto"/>
        </w:rPr>
      </w:pPr>
      <w:r>
        <w:rPr>
          <w:rFonts w:ascii="Times New Roman" w:cs="Times New Roman" w:eastAsia="Times New Roman" w:hAnsi="Times New Roman"/>
          <w:sz w:val="15"/>
          <w:szCs w:val="15"/>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w:t>
      </w:r>
      <w:r>
        <w:rPr>
          <w:rFonts w:ascii="Times New Roman" w:cs="Times New Roman" w:eastAsia="Times New Roman" w:hAnsi="Times New Roman"/>
          <w:sz w:val="15"/>
          <w:szCs w:val="15"/>
          <w:b w:val="1"/>
          <w:bCs w:val="1"/>
          <w:color w:val="auto"/>
        </w:rPr>
        <w:t>)</w:t>
      </w:r>
    </w:p>
    <w:p>
      <w:pPr>
        <w:spacing w:after="0" w:line="5" w:lineRule="exact"/>
        <w:rPr>
          <w:sz w:val="24"/>
          <w:szCs w:val="24"/>
          <w:color w:val="auto"/>
        </w:rPr>
      </w:pPr>
    </w:p>
    <w:p>
      <w:pPr>
        <w:sectPr>
          <w:pgSz w:w="11900" w:h="16838" w:orient="portrait"/>
          <w:cols w:equalWidth="0" w:num="3">
            <w:col w:w="3956" w:space="720"/>
            <w:col w:w="2460" w:space="720"/>
            <w:col w:w="2920"/>
          </w:cols>
          <w:pgMar w:left="424" w:top="1439" w:right="699" w:bottom="1440" w:gutter="0" w:footer="0" w:header="0"/>
          <w:type w:val="continuous"/>
        </w:sectPr>
      </w:pPr>
    </w:p>
    <w:p>
      <w:pPr>
        <w:ind w:left="1796"/>
        <w:spacing w:after="0" w:line="230" w:lineRule="auto"/>
        <w:rPr>
          <w:sz w:val="20"/>
          <w:szCs w:val="20"/>
          <w:color w:val="auto"/>
        </w:rPr>
      </w:pPr>
      <w:r>
        <w:rPr>
          <w:rFonts w:ascii="Times New Roman" w:cs="Times New Roman" w:eastAsia="Times New Roman" w:hAnsi="Times New Roman"/>
          <w:sz w:val="15"/>
          <w:szCs w:val="15"/>
          <w:color w:val="auto"/>
        </w:rPr>
        <w:t>organization)</w:t>
      </w:r>
    </w:p>
    <w:p>
      <w:pPr>
        <w:sectPr>
          <w:pgSz w:w="11900" w:h="16838" w:orient="portrait"/>
          <w:cols w:equalWidth="0" w:num="1">
            <w:col w:w="10776"/>
          </w:cols>
          <w:pgMar w:left="424" w:top="1439" w:right="699" w:bottom="1440" w:gutter="0" w:footer="0" w:header="0"/>
          <w:type w:val="continuous"/>
        </w:sectPr>
      </w:pPr>
    </w:p>
    <w:p>
      <w:pPr>
        <w:spacing w:after="0" w:line="329" w:lineRule="exact"/>
        <w:rPr>
          <w:sz w:val="24"/>
          <w:szCs w:val="24"/>
          <w:color w:val="auto"/>
        </w:rPr>
      </w:pPr>
    </w:p>
    <w:p>
      <w:pPr>
        <w:ind w:left="3596"/>
        <w:spacing w:after="0"/>
        <w:rPr>
          <w:sz w:val="20"/>
          <w:szCs w:val="20"/>
          <w:color w:val="auto"/>
        </w:rPr>
      </w:pPr>
      <w:r>
        <w:rPr>
          <w:rFonts w:ascii="Times New Roman" w:cs="Times New Roman" w:eastAsia="Times New Roman" w:hAnsi="Times New Roman"/>
          <w:sz w:val="15"/>
          <w:szCs w:val="15"/>
          <w:b w:val="1"/>
          <w:bCs w:val="1"/>
          <w:color w:val="auto"/>
        </w:rPr>
        <w:t>20 Eastbourne Terrace London, United Kingdom W2 6LG</w:t>
      </w:r>
    </w:p>
    <w:p>
      <w:pPr>
        <w:spacing w:after="0" w:line="9" w:lineRule="exact"/>
        <w:rPr>
          <w:sz w:val="24"/>
          <w:szCs w:val="24"/>
          <w:color w:val="auto"/>
        </w:rPr>
      </w:pPr>
    </w:p>
    <w:p>
      <w:pPr>
        <w:ind w:left="3516"/>
        <w:spacing w:after="0"/>
        <w:rPr>
          <w:sz w:val="20"/>
          <w:szCs w:val="20"/>
          <w:color w:val="auto"/>
        </w:rPr>
      </w:pPr>
      <w:r>
        <w:rPr>
          <w:rFonts w:ascii="Times New Roman" w:cs="Times New Roman" w:eastAsia="Times New Roman" w:hAnsi="Times New Roman"/>
          <w:sz w:val="15"/>
          <w:szCs w:val="15"/>
          <w:color w:val="auto"/>
        </w:rPr>
        <w:t>(Address of Principal Executive Offices) (Zip Code)</w:t>
      </w:r>
    </w:p>
    <w:p>
      <w:pPr>
        <w:spacing w:after="0" w:line="305" w:lineRule="exact"/>
        <w:rPr>
          <w:sz w:val="24"/>
          <w:szCs w:val="24"/>
          <w:color w:val="auto"/>
        </w:rPr>
      </w:pPr>
    </w:p>
    <w:p>
      <w:pPr>
        <w:jc w:val="center"/>
        <w:ind w:right="-315"/>
        <w:spacing w:after="0"/>
        <w:rPr>
          <w:sz w:val="20"/>
          <w:szCs w:val="20"/>
          <w:color w:val="auto"/>
        </w:rPr>
      </w:pPr>
      <w:r>
        <w:rPr>
          <w:rFonts w:ascii="Times New Roman" w:cs="Times New Roman" w:eastAsia="Times New Roman" w:hAnsi="Times New Roman"/>
          <w:sz w:val="15"/>
          <w:szCs w:val="15"/>
          <w:b w:val="1"/>
          <w:bCs w:val="1"/>
          <w:color w:val="auto"/>
        </w:rPr>
        <w:t>Michael Hutchinson Company Secretary</w:t>
      </w:r>
    </w:p>
    <w:p>
      <w:pPr>
        <w:spacing w:after="0" w:line="31" w:lineRule="exact"/>
        <w:rPr>
          <w:sz w:val="24"/>
          <w:szCs w:val="24"/>
          <w:color w:val="auto"/>
        </w:rPr>
      </w:pPr>
    </w:p>
    <w:p>
      <w:pPr>
        <w:jc w:val="center"/>
        <w:ind w:right="-255"/>
        <w:spacing w:after="0"/>
        <w:rPr>
          <w:sz w:val="20"/>
          <w:szCs w:val="20"/>
          <w:color w:val="auto"/>
        </w:rPr>
      </w:pPr>
      <w:r>
        <w:rPr>
          <w:rFonts w:ascii="Times New Roman" w:cs="Times New Roman" w:eastAsia="Times New Roman" w:hAnsi="Times New Roman"/>
          <w:sz w:val="15"/>
          <w:szCs w:val="15"/>
          <w:b w:val="1"/>
          <w:bCs w:val="1"/>
          <w:color w:val="auto"/>
        </w:rPr>
        <w:t>+ 44 (0) 203 325 0665</w:t>
      </w:r>
    </w:p>
    <w:p>
      <w:pPr>
        <w:spacing w:after="0" w:line="264" w:lineRule="exact"/>
        <w:rPr>
          <w:sz w:val="24"/>
          <w:szCs w:val="24"/>
          <w:color w:val="auto"/>
        </w:rPr>
      </w:pPr>
    </w:p>
    <w:p>
      <w:pPr>
        <w:ind w:left="4096" w:hanging="2421"/>
        <w:spacing w:after="0" w:line="406" w:lineRule="auto"/>
        <w:rPr>
          <w:sz w:val="20"/>
          <w:szCs w:val="20"/>
          <w:color w:val="auto"/>
        </w:rPr>
      </w:pPr>
      <w:r>
        <w:rPr>
          <w:rFonts w:ascii="Times New Roman" w:cs="Times New Roman" w:eastAsia="Times New Roman" w:hAnsi="Times New Roman"/>
          <w:sz w:val="15"/>
          <w:szCs w:val="15"/>
          <w:color w:val="auto"/>
        </w:rPr>
        <w:t>(Name and telephone number, including area code, of the person to contact in connection with this report) Check the appropriate box to indicate the rule pursuant to which this form is being filed:</w:t>
      </w:r>
    </w:p>
    <w:p>
      <w:pPr>
        <w:spacing w:after="0" w:line="29" w:lineRule="exact"/>
        <w:rPr>
          <w:sz w:val="24"/>
          <w:szCs w:val="24"/>
          <w:color w:val="auto"/>
        </w:rPr>
      </w:pPr>
    </w:p>
    <w:p>
      <w:pPr>
        <w:ind w:left="276" w:hanging="276"/>
        <w:spacing w:after="0"/>
        <w:tabs>
          <w:tab w:leader="none" w:pos="276"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Rule 13p-1 under the Securities Exchange Act (17 CFR 240.13p-1) for the reporting period from January 1 to December 31, 2023.</w:t>
      </w:r>
    </w:p>
    <w:p>
      <w:pPr>
        <w:spacing w:after="0" w:line="197" w:lineRule="exact"/>
        <w:rPr>
          <w:sz w:val="24"/>
          <w:szCs w:val="24"/>
          <w:color w:val="auto"/>
        </w:rPr>
      </w:pPr>
    </w:p>
    <w:p>
      <w:pPr>
        <w:ind w:left="376" w:hanging="343"/>
        <w:spacing w:after="0"/>
        <w:tabs>
          <w:tab w:leader="none" w:pos="376"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Rule 13q-1 under the Securities Exchange Act (17 CFR 240.13q-1) for the fiscal year ended.</w:t>
      </w:r>
    </w:p>
    <w:p>
      <w:pPr>
        <w:sectPr>
          <w:pgSz w:w="11900" w:h="16838" w:orient="portrait"/>
          <w:cols w:equalWidth="0" w:num="1">
            <w:col w:w="10776"/>
          </w:cols>
          <w:pgMar w:left="424" w:top="1439"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1 Conflict Minerals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1.01 Conflict Minerals Disclosure and Report</w:t>
      </w:r>
    </w:p>
    <w:p>
      <w:pPr>
        <w:spacing w:after="0" w:line="86" w:lineRule="exact"/>
        <w:rPr>
          <w:sz w:val="20"/>
          <w:szCs w:val="20"/>
          <w:color w:val="auto"/>
        </w:rPr>
      </w:pPr>
    </w:p>
    <w:p>
      <w:pPr>
        <w:ind w:firstLine="5"/>
        <w:spacing w:after="0" w:line="276" w:lineRule="auto"/>
        <w:rPr>
          <w:sz w:val="20"/>
          <w:szCs w:val="20"/>
          <w:color w:val="auto"/>
        </w:rPr>
      </w:pPr>
      <w:r>
        <w:rPr>
          <w:rFonts w:ascii="Times New Roman" w:cs="Times New Roman" w:eastAsia="Times New Roman" w:hAnsi="Times New Roman"/>
          <w:sz w:val="15"/>
          <w:szCs w:val="15"/>
          <w:color w:val="auto"/>
        </w:rPr>
        <w:t>LivaNova Plc (collectively with its subsidiaries, the “Company” or “LivaNova”) is filing this Specialized Disclosure report on Form SD (this “Form SD”) for LivaNova’s supply chain operations for the year ended December 31, 2023. This Form SD is presented in compliance with Rule 13p-1 under the Securities Exchange Act of 1934, as amended, for the reporting period from January 1, 2023 to December 31, 2023.</w:t>
      </w:r>
    </w:p>
    <w:p>
      <w:pPr>
        <w:spacing w:after="0" w:line="52" w:lineRule="exact"/>
        <w:rPr>
          <w:sz w:val="20"/>
          <w:szCs w:val="20"/>
          <w:color w:val="auto"/>
        </w:rPr>
      </w:pPr>
    </w:p>
    <w:p>
      <w:pPr>
        <w:ind w:right="1380" w:firstLine="5"/>
        <w:spacing w:after="0" w:line="294" w:lineRule="auto"/>
        <w:rPr>
          <w:sz w:val="20"/>
          <w:szCs w:val="20"/>
          <w:color w:val="auto"/>
        </w:rPr>
      </w:pPr>
      <w:r>
        <w:rPr>
          <w:rFonts w:ascii="Times New Roman" w:cs="Times New Roman" w:eastAsia="Times New Roman" w:hAnsi="Times New Roman"/>
          <w:sz w:val="15"/>
          <w:szCs w:val="15"/>
          <w:color w:val="auto"/>
        </w:rPr>
        <w:t xml:space="preserve">A copy of LivaNova’s Conflict Minerals Report is filed as a part of this Form SD. A copy of this Form SD may also be found on the Company’s website at </w:t>
      </w:r>
      <w:r>
        <w:rPr>
          <w:rFonts w:ascii="Times New Roman" w:cs="Times New Roman" w:eastAsia="Times New Roman" w:hAnsi="Times New Roman"/>
          <w:sz w:val="15"/>
          <w:szCs w:val="15"/>
          <w:u w:val="single" w:color="auto"/>
          <w:color w:val="3051F2"/>
        </w:rPr>
        <w:t>investor.livanova.com/financials/sec-filings</w:t>
      </w:r>
      <w:r>
        <w:rPr>
          <w:rFonts w:ascii="Times New Roman" w:cs="Times New Roman" w:eastAsia="Times New Roman" w:hAnsi="Times New Roman"/>
          <w:sz w:val="15"/>
          <w:szCs w:val="15"/>
          <w:color w:val="000000"/>
        </w:rPr>
        <w: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1.02 Exhibits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LivaNova has filed as an exhibit to this Form SD, the Conflict Minerals Report required by Item 1.01.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2 Resource Extraction Issuer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2.01 Resource Extraction Issuer Disclosure and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Section 3 Exhibits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3.01 Exhibits</w:t>
      </w:r>
    </w:p>
    <w:p>
      <w:pPr>
        <w:spacing w:after="0"/>
        <w:rPr>
          <w:sz w:val="20"/>
          <w:szCs w:val="20"/>
          <w:color w:val="auto"/>
        </w:rPr>
      </w:pPr>
      <w:r>
        <w:rPr>
          <w:rFonts w:ascii="Times New Roman" w:cs="Times New Roman" w:eastAsia="Times New Roman" w:hAnsi="Times New Roman"/>
          <w:sz w:val="15"/>
          <w:szCs w:val="15"/>
          <w:color w:val="auto"/>
        </w:rPr>
        <w:t>The following exhibit is filed as part of this report.</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Exhibit  Description</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5"/>
          <w:szCs w:val="15"/>
          <w:u w:val="single" w:color="auto"/>
          <w:color w:val="0000FF"/>
        </w:rPr>
        <w:t>Conflict Minerals Report as required by Items 1.01 and 1.02 of this Form</w:t>
      </w:r>
    </w:p>
    <w:p>
      <w:pPr>
        <w:ind w:left="20"/>
        <w:spacing w:after="0"/>
        <w:tabs>
          <w:tab w:leader="none" w:pos="560" w:val="left"/>
        </w:tabs>
        <w:rPr>
          <w:sz w:val="20"/>
          <w:szCs w:val="20"/>
          <w:color w:val="auto"/>
        </w:rPr>
      </w:pPr>
      <w:r>
        <w:rPr>
          <w:rFonts w:ascii="Times New Roman" w:cs="Times New Roman" w:eastAsia="Times New Roman" w:hAnsi="Times New Roman"/>
          <w:sz w:val="15"/>
          <w:szCs w:val="15"/>
          <w:color w:val="auto"/>
        </w:rPr>
        <w:t>1.01</w:t>
      </w:r>
      <w:r>
        <w:rPr>
          <w:sz w:val="20"/>
          <w:szCs w:val="20"/>
          <w:color w:val="auto"/>
        </w:rPr>
        <w:tab/>
      </w:r>
      <w:r>
        <w:rPr>
          <w:rFonts w:ascii="Times New Roman" w:cs="Times New Roman" w:eastAsia="Times New Roman" w:hAnsi="Times New Roman"/>
          <w:sz w:val="15"/>
          <w:szCs w:val="15"/>
          <w:u w:val="single" w:color="auto"/>
          <w:color w:val="0000FF"/>
        </w:rPr>
        <w:t>SD.</w:t>
      </w:r>
    </w:p>
    <w:p>
      <w:pPr>
        <w:sectPr>
          <w:pgSz w:w="11900" w:h="16838" w:orient="portrait"/>
          <w:cols w:equalWidth="0" w:num="1">
            <w:col w:w="10940"/>
          </w:cols>
          <w:pgMar w:left="600" w:top="1196" w:right="35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25" w:lineRule="exact"/>
        <w:rPr>
          <w:sz w:val="20"/>
          <w:szCs w:val="20"/>
          <w:color w:val="auto"/>
        </w:rPr>
      </w:pPr>
    </w:p>
    <w:p>
      <w:pPr>
        <w:ind w:firstLine="555"/>
        <w:spacing w:after="0" w:line="294"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color w:val="auto"/>
        </w:rPr>
        <w:t>LivaNova PLC</w:t>
      </w:r>
    </w:p>
    <w:p>
      <w:pPr>
        <w:spacing w:after="0" w:line="200" w:lineRule="exact"/>
        <w:rPr>
          <w:sz w:val="20"/>
          <w:szCs w:val="20"/>
          <w:color w:val="auto"/>
        </w:rPr>
      </w:pPr>
    </w:p>
    <w:p>
      <w:pPr>
        <w:spacing w:after="0" w:line="264"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5"/>
          <w:szCs w:val="15"/>
          <w:color w:val="auto"/>
        </w:rPr>
        <w:t>Date: May 30, 2024</w:t>
      </w:r>
      <w:r>
        <w:rPr>
          <w:sz w:val="20"/>
          <w:szCs w:val="20"/>
          <w:color w:val="auto"/>
        </w:rPr>
        <w:tab/>
      </w: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Michael Hutchinson</w:t>
      </w:r>
    </w:p>
    <w:p>
      <w:pPr>
        <w:spacing w:after="0" w:line="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Name: Michael Hutchinson</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5"/>
          <w:szCs w:val="15"/>
          <w:color w:val="auto"/>
        </w:rPr>
        <w:t>Title: SVP, Company Secretary &amp; Chief Legal Officer</w:t>
      </w:r>
    </w:p>
    <w:p>
      <w:pPr>
        <w:sectPr>
          <w:pgSz w:w="11900" w:h="16838" w:orient="portrait"/>
          <w:cols w:equalWidth="0" w:num="1">
            <w:col w:w="11080"/>
          </w:cols>
          <w:pgMar w:left="320" w:top="676"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323850</wp:posOffset>
            </wp:positionV>
            <wp:extent cx="7091045" cy="1018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10187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022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2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104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455930</wp:posOffset>
            </wp:positionV>
            <wp:extent cx="7087870" cy="101485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870" cy="10148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313055</wp:posOffset>
            </wp:positionH>
            <wp:positionV relativeFrom="page">
              <wp:posOffset>88900</wp:posOffset>
            </wp:positionV>
            <wp:extent cx="7091045" cy="10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1045" cy="1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2024-05-31T05:08:16Z</dcterms:created>
  <dcterms:modified xsi:type="dcterms:W3CDTF">2024-05-31T05:08:16Z</dcterms:modified>
</cp:coreProperties>
</file>