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70" w:lineRule="exact"/>
        <w:rPr>
          <w:sz w:val="24"/>
          <w:szCs w:val="24"/>
          <w:color w:val="auto"/>
        </w:rPr>
      </w:pPr>
    </w:p>
    <w:p>
      <w:pPr>
        <w:ind w:left="720" w:right="2180" w:hanging="685"/>
        <w:spacing w:after="0" w:line="190" w:lineRule="auto"/>
        <w:tabs>
          <w:tab w:leader="none" w:pos="7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QUARTERLY REPORT UNDER SECTION 13 OR 15(d) OF THE SECURITIES EXCHANGE ACT OF 1934 For the quarterly period ended September 30,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001-375999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146050</wp:posOffset>
            </wp:positionV>
            <wp:extent cx="175831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2" w:right="239" w:bottom="0" w:gutter="0" w:footer="0" w:header="0"/>
        </w:sectPr>
      </w:pPr>
    </w:p>
    <w:p>
      <w:pPr>
        <w:spacing w:after="0" w:line="343"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90" w:lineRule="exact"/>
        <w:rPr>
          <w:sz w:val="24"/>
          <w:szCs w:val="24"/>
          <w:color w:val="auto"/>
        </w:rPr>
      </w:pPr>
    </w:p>
    <w:p>
      <w:pPr>
        <w:sectPr>
          <w:pgSz w:w="11900" w:h="16838" w:orient="portrait"/>
          <w:cols w:equalWidth="0" w:num="2">
            <w:col w:w="7400" w:space="720"/>
            <w:col w:w="3300"/>
          </w:cols>
          <w:pgMar w:left="240" w:top="472" w:right="239" w:bottom="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98" w:lineRule="exact"/>
        <w:rPr>
          <w:sz w:val="24"/>
          <w:szCs w:val="24"/>
          <w:color w:val="auto"/>
        </w:rPr>
      </w:pPr>
    </w:p>
    <w:p>
      <w:pPr>
        <w:sectPr>
          <w:pgSz w:w="11900" w:h="16838" w:orient="portrait"/>
          <w:cols w:equalWidth="0" w:num="2">
            <w:col w:w="6520" w:space="720"/>
            <w:col w:w="4180"/>
          </w:cols>
          <w:pgMar w:left="240" w:top="472"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Wharf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W2 1AY, United Kingdom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+44 800 975 8080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1"/>
          <w:szCs w:val="11"/>
          <w:color w:val="auto"/>
        </w:rPr>
        <w:t>_________________________________</w:t>
      </w:r>
    </w:p>
    <w:p>
      <w:pPr>
        <w:spacing w:after="0" w:line="19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No o</w:t>
      </w:r>
    </w:p>
    <w:p>
      <w:pPr>
        <w:spacing w:after="0" w:line="12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72" w:right="239" w:bottom="0" w:gutter="0" w:footer="0" w:header="0"/>
          <w:type w:val="continuous"/>
        </w:sectPr>
      </w:pPr>
    </w:p>
    <w:p>
      <w:pPr>
        <w:spacing w:after="0" w:line="93"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460" w:space="720"/>
            <w:col w:w="3240"/>
          </w:cols>
          <w:pgMar w:left="240" w:top="472" w:right="239" w:bottom="0" w:gutter="0" w:footer="0" w:header="0"/>
          <w:type w:val="continuous"/>
        </w:sectPr>
      </w:pPr>
    </w:p>
    <w:p>
      <w:pPr>
        <w:ind w:left="13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080" w:space="720"/>
            <w:col w:w="3620"/>
          </w:cols>
          <w:pgMar w:left="240" w:top="472" w:right="239" w:bottom="0" w:gutter="0" w:footer="0" w:header="0"/>
          <w:type w:val="continuous"/>
        </w:sect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6" w:lineRule="exact"/>
        <w:rPr>
          <w:sz w:val="24"/>
          <w:szCs w:val="24"/>
          <w:color w:val="auto"/>
        </w:rPr>
      </w:pPr>
    </w:p>
    <w:p>
      <w:pPr>
        <w:jc w:val="both"/>
        <w:ind w:right="480" w:firstLine="8"/>
        <w:spacing w:after="0" w:line="26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LivaNova PLC operated as a shell company during the period covered by this report. However, as discussed in the explanatory note hereto, LivaNova PLC’s future periodic reports filed pursuant to Section 13 or 15(d) of the Securities Exchange Act of 1934 will reflect the operations of the combination referred to in the explanatory note.</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November 4,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Ordinary shares, par value £1.00: 48,838,354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Explanatory Note</w:t>
      </w:r>
    </w:p>
    <w:p>
      <w:pPr>
        <w:spacing w:after="0" w:line="360" w:lineRule="exact"/>
        <w:rPr>
          <w:sz w:val="24"/>
          <w:szCs w:val="24"/>
          <w:color w:val="auto"/>
        </w:rPr>
      </w:pPr>
    </w:p>
    <w:p>
      <w:pPr>
        <w:jc w:val="both"/>
        <w:ind w:right="100" w:firstLine="162"/>
        <w:spacing w:after="0" w:line="259" w:lineRule="auto"/>
        <w:rPr>
          <w:sz w:val="20"/>
          <w:szCs w:val="20"/>
          <w:color w:val="auto"/>
        </w:rPr>
      </w:pPr>
      <w:r>
        <w:rPr>
          <w:rFonts w:ascii="Arial" w:cs="Arial" w:eastAsia="Arial" w:hAnsi="Arial"/>
          <w:sz w:val="18"/>
          <w:szCs w:val="18"/>
          <w:i w:val="1"/>
          <w:iCs w:val="1"/>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146" w:lineRule="exact"/>
        <w:rPr>
          <w:sz w:val="24"/>
          <w:szCs w:val="24"/>
          <w:color w:val="auto"/>
        </w:rPr>
      </w:pPr>
    </w:p>
    <w:p>
      <w:pPr>
        <w:ind w:right="220" w:firstLine="162"/>
        <w:spacing w:after="0" w:line="257" w:lineRule="auto"/>
        <w:rPr>
          <w:sz w:val="20"/>
          <w:szCs w:val="20"/>
          <w:color w:val="auto"/>
        </w:rPr>
      </w:pPr>
      <w:r>
        <w:rPr>
          <w:rFonts w:ascii="Arial" w:cs="Arial" w:eastAsia="Arial" w:hAnsi="Arial"/>
          <w:sz w:val="18"/>
          <w:szCs w:val="18"/>
          <w:i w:val="1"/>
          <w:iCs w:val="1"/>
          <w:color w:val="auto"/>
        </w:rPr>
        <w:t>In this Form 10-Q we are reporting the shell company results for LivaNova and Merger Sub for the quarter ended September 30, 2015 and for the period from February 20, 2015, LivaNova’s date of incorporation, to September 30, 2015. As of September 30, 2015, LivaNova was a wholly owned subsidiary of Sorin, and Merger Sub, also a shell company, was wholly owned by LivaNova and was the sole subsidiary of LivaNova. Prior to September 30, 2015, and during the period reported herein, LivaNova did not conduct any activities other than those incidental to the formation of it and Merger Sub and matters contemplated by the Merger Agreement (as defined below).</w:t>
      </w:r>
    </w:p>
    <w:p>
      <w:pPr>
        <w:spacing w:after="0" w:line="148" w:lineRule="exact"/>
        <w:rPr>
          <w:sz w:val="24"/>
          <w:szCs w:val="24"/>
          <w:color w:val="auto"/>
        </w:rPr>
      </w:pPr>
    </w:p>
    <w:p>
      <w:pPr>
        <w:ind w:right="20" w:firstLine="162"/>
        <w:spacing w:after="0" w:line="271" w:lineRule="auto"/>
        <w:rPr>
          <w:sz w:val="20"/>
          <w:szCs w:val="20"/>
          <w:color w:val="auto"/>
        </w:rPr>
      </w:pPr>
      <w:r>
        <w:rPr>
          <w:rFonts w:ascii="Arial" w:cs="Arial" w:eastAsia="Arial" w:hAnsi="Arial"/>
          <w:sz w:val="17"/>
          <w:szCs w:val="17"/>
          <w:i w:val="1"/>
          <w:iCs w:val="1"/>
          <w:color w:val="auto"/>
        </w:rPr>
        <w:t>On October 19, 2015, subsequent to the period ended September 30, 2015 as reported herein, and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 As a result of the Mergers, LivaNova became the holding company of the combined businesses of Cyberonics and Sorin. On October 19, 2015, LivaNova’s ordinary shares were listed for trading on NASDAQ Global Market and on the London Stock Exchange as a standard listing under the trading symbol “LIVN”. Events subsequent to September 30, 2015, including the completion of the Mergers, are not reflected in the condensed consolidated financial statements included in this Quarterly Report on Form 10-Q.</w:t>
      </w:r>
    </w:p>
    <w:p>
      <w:pPr>
        <w:sectPr>
          <w:pgSz w:w="11900" w:h="16838" w:orient="portrait"/>
          <w:cols w:equalWidth="0" w:num="1">
            <w:col w:w="11420"/>
          </w:cols>
          <w:pgMar w:left="240" w:top="472" w:right="239" w:bottom="0" w:gutter="0" w:footer="0" w:header="0"/>
          <w:type w:val="continuous"/>
        </w:sectPr>
      </w:pPr>
    </w:p>
    <w:bookmarkStart w:id="1" w:name="page2"/>
    <w:bookmarkEnd w:id="1"/>
    <w:p>
      <w:pPr>
        <w:spacing w:after="0" w:line="271"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p>
      <w:pPr>
        <w:ind w:left="240"/>
        <w:spacing w:after="0"/>
        <w:tabs>
          <w:tab w:leader="none" w:pos="4820" w:val="left"/>
          <w:tab w:leader="none" w:pos="10080" w:val="left"/>
        </w:tabs>
        <w:rPr>
          <w:sz w:val="20"/>
          <w:szCs w:val="20"/>
          <w:color w:val="auto"/>
        </w:rPr>
      </w:pPr>
      <w:r>
        <w:rPr>
          <w:rFonts w:ascii="Arial" w:cs="Arial" w:eastAsia="Arial" w:hAnsi="Arial"/>
          <w:sz w:val="14"/>
          <w:szCs w:val="14"/>
          <w:b w:val="1"/>
          <w:bCs w:val="1"/>
          <w:color w:val="auto"/>
        </w:rPr>
        <w:t>Item</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35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p>
      <w:pPr>
        <w:spacing w:after="0" w:line="262"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34290</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61" w:lineRule="exact"/>
        <w:rPr>
          <w:sz w:val="20"/>
          <w:szCs w:val="20"/>
          <w:color w:val="auto"/>
        </w:rPr>
      </w:pPr>
    </w:p>
    <w:p>
      <w:pPr>
        <w:ind w:left="920" w:hanging="57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Condensed Consolidated Financial Statements</w:t>
      </w:r>
    </w:p>
    <w:p>
      <w:pPr>
        <w:spacing w:after="0" w:line="63" w:lineRule="exact"/>
        <w:rPr>
          <w:rFonts w:ascii="Arial" w:cs="Arial" w:eastAsia="Arial" w:hAnsi="Arial"/>
          <w:sz w:val="18"/>
          <w:szCs w:val="18"/>
          <w:color w:val="auto"/>
        </w:rPr>
      </w:pPr>
    </w:p>
    <w:p>
      <w:pPr>
        <w:ind w:left="920" w:right="34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Income for the three months ended September 30, 2015, and for the period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from February 20, 2015 (date of incorporation) to September 30, 2015</w:t>
        </w:r>
      </w:hyperlink>
    </w:p>
    <w:p>
      <w:pPr>
        <w:spacing w:after="0" w:line="8" w:lineRule="exact"/>
        <w:rPr>
          <w:rFonts w:ascii="Arial" w:cs="Arial" w:eastAsia="Arial" w:hAnsi="Arial"/>
          <w:sz w:val="18"/>
          <w:szCs w:val="18"/>
          <w:u w:val="single" w:color="auto"/>
          <w:color w:val="0000EE"/>
        </w:rPr>
      </w:pPr>
    </w:p>
    <w:p>
      <w:pPr>
        <w:ind w:left="920" w:right="20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Comprehensive Income for the three months ended September 30, 2015,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for the period from February 20, 2015 (date of incorporation) to September 30, 2015</w:t>
        </w:r>
      </w:hyperlink>
    </w:p>
    <w:p>
      <w:pPr>
        <w:spacing w:after="0" w:line="8"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 as of September 30, 2015</w:t>
        </w:r>
      </w:hyperlink>
    </w:p>
    <w:p>
      <w:pPr>
        <w:spacing w:after="0" w:line="63" w:lineRule="exact"/>
        <w:rPr>
          <w:rFonts w:ascii="Arial" w:cs="Arial" w:eastAsia="Arial" w:hAnsi="Arial"/>
          <w:sz w:val="18"/>
          <w:szCs w:val="18"/>
          <w:u w:val="single" w:color="auto"/>
          <w:color w:val="0000EE"/>
        </w:rPr>
      </w:pPr>
    </w:p>
    <w:p>
      <w:pPr>
        <w:ind w:left="920" w:right="440"/>
        <w:spacing w:after="0" w:line="27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three months ended September 30, 2015, and for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period from February 20, 2015 (date of incorporation) to September 30, 2015</w:t>
        </w:r>
      </w:hyperlink>
    </w:p>
    <w:p>
      <w:pPr>
        <w:spacing w:after="0" w:line="8" w:lineRule="exact"/>
        <w:rPr>
          <w:sz w:val="20"/>
          <w:szCs w:val="20"/>
          <w:color w:val="auto"/>
        </w:rPr>
      </w:pPr>
    </w:p>
    <w:p>
      <w:pPr>
        <w:ind w:left="9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ind w:left="920" w:hanging="579"/>
        <w:spacing w:after="0"/>
        <w:tabs>
          <w:tab w:leader="none" w:pos="920" w:val="left"/>
        </w:tabs>
        <w:numPr>
          <w:ilvl w:val="0"/>
          <w:numId w:val="4"/>
        </w:numPr>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Management’s Discussion and Analysis of Financial Condition and Results of Operations as a Shell Company</w:t>
        </w:r>
      </w:hyperlink>
    </w:p>
    <w:p>
      <w:pPr>
        <w:spacing w:after="0" w:line="291" w:lineRule="exact"/>
        <w:rPr>
          <w:sz w:val="20"/>
          <w:szCs w:val="20"/>
          <w:color w:val="auto"/>
        </w:rPr>
      </w:pPr>
    </w:p>
    <w:p>
      <w:pPr>
        <w:ind w:left="920" w:hanging="579"/>
        <w:spacing w:after="0"/>
        <w:tabs>
          <w:tab w:leader="none" w:pos="920" w:val="left"/>
        </w:tabs>
        <w:numPr>
          <w:ilvl w:val="0"/>
          <w:numId w:val="5"/>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Quantitative and Qualitative Disclosures About Market Risk</w:t>
        </w:r>
      </w:hyperlink>
    </w:p>
    <w:p>
      <w:pPr>
        <w:spacing w:after="0" w:line="63" w:lineRule="exact"/>
        <w:rPr>
          <w:rFonts w:ascii="Arial" w:cs="Arial" w:eastAsia="Arial" w:hAnsi="Arial"/>
          <w:sz w:val="18"/>
          <w:szCs w:val="18"/>
          <w:u w:val="single" w:color="auto"/>
          <w:color w:val="0000EE"/>
        </w:rPr>
      </w:pPr>
    </w:p>
    <w:p>
      <w:pPr>
        <w:ind w:left="340"/>
        <w:spacing w:after="0"/>
        <w:rPr>
          <w:rFonts w:ascii="Arial" w:cs="Arial" w:eastAsia="Arial" w:hAnsi="Arial"/>
          <w:sz w:val="15"/>
          <w:szCs w:val="15"/>
          <w:u w:val="single" w:color="auto"/>
          <w:color w:val="0000EE"/>
        </w:rPr>
      </w:pPr>
      <w:r>
        <w:rPr>
          <w:rFonts w:ascii="Arial" w:cs="Arial" w:eastAsia="Arial" w:hAnsi="Arial"/>
          <w:sz w:val="18"/>
          <w:szCs w:val="18"/>
          <w:color w:val="auto"/>
        </w:rPr>
        <w:t>4</w:t>
      </w:r>
      <w:hyperlink w:anchor="page11">
        <w:r>
          <w:rPr>
            <w:rFonts w:ascii="Arial" w:cs="Arial" w:eastAsia="Arial" w:hAnsi="Arial"/>
            <w:sz w:val="15"/>
            <w:szCs w:val="15"/>
            <w:u w:val="single" w:color="auto"/>
            <w:color w:val="0000EE"/>
          </w:rPr>
          <w:t>Controls and Procedures</w:t>
        </w:r>
      </w:hyperlink>
    </w:p>
    <w:p>
      <w:pPr>
        <w:spacing w:after="0" w:line="59" w:lineRule="exact"/>
        <w:rPr>
          <w:rFonts w:ascii="Arial" w:cs="Arial" w:eastAsia="Arial" w:hAnsi="Arial"/>
          <w:sz w:val="18"/>
          <w:szCs w:val="18"/>
          <w:color w:val="auto"/>
        </w:rPr>
      </w:pPr>
    </w:p>
    <w:p>
      <w:pPr>
        <w:jc w:val="center"/>
        <w:ind w:left="94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562610</wp:posOffset>
            </wp:positionH>
            <wp:positionV relativeFrom="paragraph">
              <wp:posOffset>34290</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61" w:lineRule="exact"/>
        <w:rPr>
          <w:rFonts w:ascii="Arial" w:cs="Arial" w:eastAsia="Arial" w:hAnsi="Arial"/>
          <w:sz w:val="18"/>
          <w:szCs w:val="18"/>
          <w:color w:val="auto"/>
        </w:rPr>
      </w:pPr>
    </w:p>
    <w:p>
      <w:pPr>
        <w:ind w:left="920" w:hanging="579"/>
        <w:spacing w:after="0"/>
        <w:tabs>
          <w:tab w:leader="none" w:pos="920" w:val="left"/>
        </w:tabs>
        <w:numPr>
          <w:ilvl w:val="0"/>
          <w:numId w:val="6"/>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Proceedings</w:t>
        </w:r>
      </w:hyperlink>
    </w:p>
    <w:p>
      <w:pPr>
        <w:spacing w:after="0" w:line="63" w:lineRule="exact"/>
        <w:rPr>
          <w:rFonts w:ascii="Arial" w:cs="Arial" w:eastAsia="Arial" w:hAnsi="Arial"/>
          <w:sz w:val="18"/>
          <w:szCs w:val="18"/>
          <w:u w:val="single" w:color="auto"/>
          <w:color w:val="0000EE"/>
        </w:rPr>
      </w:pPr>
    </w:p>
    <w:p>
      <w:pPr>
        <w:ind w:left="280"/>
        <w:spacing w:after="0"/>
        <w:rPr>
          <w:rFonts w:ascii="Arial" w:cs="Arial" w:eastAsia="Arial" w:hAnsi="Arial"/>
          <w:sz w:val="16"/>
          <w:szCs w:val="16"/>
          <w:u w:val="single" w:color="auto"/>
          <w:color w:val="0000EE"/>
        </w:rPr>
      </w:pPr>
      <w:r>
        <w:rPr>
          <w:rFonts w:ascii="Arial" w:cs="Arial" w:eastAsia="Arial" w:hAnsi="Arial"/>
          <w:sz w:val="18"/>
          <w:szCs w:val="18"/>
          <w:color w:val="auto"/>
        </w:rPr>
        <w:t>1A</w:t>
      </w:r>
      <w:hyperlink w:anchor="page11">
        <w:r>
          <w:rPr>
            <w:rFonts w:ascii="Arial" w:cs="Arial" w:eastAsia="Arial" w:hAnsi="Arial"/>
            <w:sz w:val="16"/>
            <w:szCs w:val="16"/>
            <w:u w:val="single" w:color="auto"/>
            <w:color w:val="0000EE"/>
          </w:rPr>
          <w:t>Risk Factors</w:t>
        </w:r>
      </w:hyperlink>
    </w:p>
    <w:p>
      <w:pPr>
        <w:spacing w:after="0" w:line="63" w:lineRule="exact"/>
        <w:rPr>
          <w:rFonts w:ascii="Arial" w:cs="Arial" w:eastAsia="Arial" w:hAnsi="Arial"/>
          <w:sz w:val="16"/>
          <w:szCs w:val="16"/>
          <w:u w:val="single" w:color="auto"/>
          <w:color w:val="0000EE"/>
        </w:rPr>
      </w:pPr>
    </w:p>
    <w:p>
      <w:pPr>
        <w:ind w:left="920" w:right="7760" w:hanging="572"/>
        <w:spacing w:after="0" w:line="456" w:lineRule="auto"/>
        <w:rPr>
          <w:rFonts w:ascii="Arial" w:cs="Arial" w:eastAsia="Arial" w:hAnsi="Arial"/>
          <w:sz w:val="15"/>
          <w:szCs w:val="15"/>
          <w:u w:val="single" w:color="auto"/>
          <w:color w:val="0000EE"/>
        </w:rPr>
      </w:pPr>
      <w:r>
        <w:rPr>
          <w:rFonts w:ascii="Arial" w:cs="Arial" w:eastAsia="Arial" w:hAnsi="Arial"/>
          <w:sz w:val="18"/>
          <w:szCs w:val="18"/>
          <w:color w:val="auto"/>
        </w:rPr>
        <w:t>6</w:t>
      </w:r>
      <w:hyperlink w:anchor="page11">
        <w:r>
          <w:rPr>
            <w:rFonts w:ascii="Arial" w:cs="Arial" w:eastAsia="Arial" w:hAnsi="Arial"/>
            <w:sz w:val="15"/>
            <w:szCs w:val="15"/>
            <w:u w:val="single" w:color="auto"/>
            <w:color w:val="0000EE"/>
          </w:rPr>
          <w:t>Exhibits</w:t>
        </w:r>
      </w:hyperlink>
      <w:r>
        <w:rPr>
          <w:rFonts w:ascii="Arial" w:cs="Arial" w:eastAsia="Arial" w:hAnsi="Arial"/>
          <w:sz w:val="15"/>
          <w:szCs w:val="15"/>
          <w:u w:val="single" w:color="auto"/>
          <w:color w:val="0000EE"/>
        </w:rPr>
        <w:t xml:space="preserve"> </w:t>
      </w:r>
      <w:hyperlink w:anchor="page13">
        <w:r>
          <w:rPr>
            <w:rFonts w:ascii="Arial" w:cs="Arial" w:eastAsia="Arial" w:hAnsi="Arial"/>
            <w:sz w:val="15"/>
            <w:szCs w:val="15"/>
            <w:u w:val="single" w:color="auto"/>
            <w:color w:val="0000EE"/>
          </w:rPr>
          <w:t>Signatures</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08" w:lineRule="exact"/>
        <w:rPr>
          <w:rFonts w:ascii="Arial" w:cs="Arial" w:eastAsia="Arial" w:hAnsi="Arial"/>
          <w:sz w:val="16"/>
          <w:szCs w:val="16"/>
          <w:u w:val="single" w:color="auto"/>
          <w:color w:val="0000EE"/>
        </w:rPr>
      </w:pPr>
    </w:p>
    <w:p>
      <w:pPr>
        <w:jc w:val="center"/>
        <w:ind w:right="10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p>
      <w:pPr>
        <w:spacing w:after="0" w:line="279"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p>
      <w:pPr>
        <w:spacing w:after="0" w:line="171"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171"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171"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171"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p>
      <w:pPr>
        <w:spacing w:after="0" w:line="171"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p>
      <w:pPr>
        <w:spacing w:after="0" w:line="63" w:lineRule="exact"/>
        <w:rPr>
          <w:rFonts w:ascii="Arial" w:cs="Arial" w:eastAsia="Arial" w:hAnsi="Arial"/>
          <w:sz w:val="16"/>
          <w:szCs w:val="16"/>
          <w:u w:val="single" w:color="auto"/>
          <w:color w:val="0000EE"/>
        </w:rPr>
      </w:pPr>
    </w:p>
    <w:p>
      <w:pPr>
        <w:jc w:val="center"/>
        <w:ind w:right="10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p>
      <w:pPr>
        <w:spacing w:after="0" w:line="333"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p>
      <w:pPr>
        <w:spacing w:after="0" w:line="77"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p>
      <w:pPr>
        <w:spacing w:after="0" w:line="63" w:lineRule="exact"/>
        <w:rPr>
          <w:rFonts w:ascii="Arial" w:cs="Arial" w:eastAsia="Arial" w:hAnsi="Arial"/>
          <w:sz w:val="16"/>
          <w:szCs w:val="16"/>
          <w:u w:val="single" w:color="auto"/>
          <w:color w:val="0000EE"/>
        </w:rPr>
      </w:pPr>
    </w:p>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p>
      <w:pPr>
        <w:spacing w:after="0" w:line="63" w:lineRule="exact"/>
        <w:rPr>
          <w:rFonts w:ascii="Arial" w:cs="Arial" w:eastAsia="Arial" w:hAnsi="Arial"/>
          <w:sz w:val="16"/>
          <w:szCs w:val="16"/>
          <w:u w:val="single" w:color="auto"/>
          <w:color w:val="0000EE"/>
        </w:rPr>
      </w:pPr>
    </w:p>
    <w:p>
      <w:pPr>
        <w:spacing w:after="0"/>
        <w:rPr>
          <w:rFonts w:ascii="Arial" w:cs="Arial" w:eastAsia="Arial" w:hAnsi="Arial"/>
          <w:sz w:val="14"/>
          <w:szCs w:val="14"/>
          <w:u w:val="single" w:color="auto"/>
          <w:color w:val="0000EE"/>
        </w:rPr>
      </w:pPr>
      <w:hyperlink w:anchor="page13">
        <w:r>
          <w:rPr>
            <w:rFonts w:ascii="Arial" w:cs="Arial" w:eastAsia="Arial" w:hAnsi="Arial"/>
            <w:sz w:val="14"/>
            <w:szCs w:val="14"/>
            <w:u w:val="single" w:color="auto"/>
            <w:color w:val="0000EE"/>
          </w:rPr>
          <w:t>11</w:t>
        </w:r>
      </w:hyperlink>
    </w:p>
    <w:p>
      <w:pPr>
        <w:spacing w:after="0" w:line="298" w:lineRule="exact"/>
        <w:rPr>
          <w:rFonts w:ascii="Arial" w:cs="Arial" w:eastAsia="Arial" w:hAnsi="Arial"/>
          <w:sz w:val="16"/>
          <w:szCs w:val="16"/>
          <w:u w:val="single" w:color="auto"/>
          <w:color w:val="0000EE"/>
        </w:rPr>
      </w:pPr>
    </w:p>
    <w:p>
      <w:pPr>
        <w:sectPr>
          <w:pgSz w:w="11900" w:h="16838" w:orient="portrait"/>
          <w:cols w:equalWidth="0" w:num="2">
            <w:col w:w="9440" w:space="720"/>
            <w:col w:w="1180"/>
          </w:cols>
          <w:pgMar w:left="240" w:top="364" w:right="319" w:bottom="1440" w:gutter="0" w:footer="0" w:header="0"/>
          <w:type w:val="continuous"/>
        </w:sectPr>
      </w:pPr>
    </w:p>
    <w:p>
      <w:pPr>
        <w:ind w:firstLine="162"/>
        <w:spacing w:after="0" w:line="277" w:lineRule="auto"/>
        <w:rPr>
          <w:sz w:val="20"/>
          <w:szCs w:val="20"/>
          <w:color w:val="auto"/>
        </w:rPr>
      </w:pPr>
      <w:r>
        <w:rPr>
          <w:rFonts w:ascii="Arial" w:cs="Arial" w:eastAsia="Arial" w:hAnsi="Arial"/>
          <w:sz w:val="18"/>
          <w:szCs w:val="18"/>
          <w:color w:val="auto"/>
        </w:rPr>
        <w:t>In this Quarterly Report on Form 10-Q, “LivaNova,” “the Company,” “we,” “us,” and “our” refer to LivaNova PLC and its sole subsidiary, Cypher Merger Sub, Inc.</w:t>
      </w:r>
    </w:p>
    <w:p>
      <w:pPr>
        <w:sectPr>
          <w:pgSz w:w="11900" w:h="16838" w:orient="portrait"/>
          <w:cols w:equalWidth="0" w:num="1">
            <w:col w:w="11340"/>
          </w:cols>
          <w:pgMar w:left="240" w:top="364" w:right="319" w:bottom="1440" w:gutter="0" w:footer="0" w:header="0"/>
          <w:type w:val="continuous"/>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LIVANOVA PLC</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(Unaudited, in thousands of U.S. dollars,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February 20, 2015 (date of</w:t>
            </w:r>
          </w:p>
        </w:tc>
        <w:tc>
          <w:tcPr>
            <w:tcW w:w="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incorporation) to</w:t>
            </w:r>
          </w:p>
        </w:tc>
        <w:tc>
          <w:tcPr>
            <w:tcW w:w="20" w:type="dxa"/>
            <w:vAlign w:val="bottom"/>
          </w:tcPr>
          <w:p>
            <w:pPr>
              <w:spacing w:after="0"/>
              <w:rPr>
                <w:sz w:val="20"/>
                <w:szCs w:val="20"/>
                <w:color w:val="auto"/>
              </w:rPr>
            </w:pPr>
          </w:p>
        </w:tc>
      </w:tr>
      <w:tr>
        <w:trPr>
          <w:trHeight w:val="297"/>
        </w:trPr>
        <w:tc>
          <w:tcPr>
            <w:tcW w:w="3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September 30, 2015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4"/>
                <w:szCs w:val="24"/>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40" w:type="dxa"/>
            <w:vAlign w:val="bottom"/>
            <w:tcBorders>
              <w:bottom w:val="single" w:sz="8" w:color="CCEEFF"/>
            </w:tcBorders>
            <w:gridSpan w:val="3"/>
            <w:shd w:val="clear" w:color="auto" w:fill="CCEEFF"/>
          </w:tcPr>
          <w:p>
            <w:pPr>
              <w:jc w:val="center"/>
              <w:ind w:left="159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64"/>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related expenses</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37"/>
        </w:trPr>
        <w:tc>
          <w:tcPr>
            <w:tcW w:w="3800" w:type="dxa"/>
            <w:vAlign w:val="bottom"/>
          </w:tcPr>
          <w:p>
            <w:pPr>
              <w:ind w:left="180"/>
              <w:spacing w:after="0"/>
              <w:rPr>
                <w:sz w:val="20"/>
                <w:szCs w:val="20"/>
                <w:color w:val="auto"/>
              </w:rPr>
            </w:pPr>
            <w:r>
              <w:rPr>
                <w:rFonts w:ascii="Arial" w:cs="Arial" w:eastAsia="Arial" w:hAnsi="Arial"/>
                <w:sz w:val="18"/>
                <w:szCs w:val="18"/>
                <w:color w:val="auto"/>
              </w:rPr>
              <w:t>Litigation settlement</w:t>
            </w:r>
          </w:p>
        </w:tc>
        <w:tc>
          <w:tcPr>
            <w:tcW w:w="1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380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r>
      <w:tr>
        <w:trPr>
          <w:trHeight w:val="237"/>
        </w:trPr>
        <w:tc>
          <w:tcPr>
            <w:tcW w:w="38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97"/>
        </w:trPr>
        <w:tc>
          <w:tcPr>
            <w:tcW w:w="3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18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311"/>
        </w:trPr>
        <w:tc>
          <w:tcPr>
            <w:tcW w:w="38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2140" w:type="dxa"/>
            <w:vAlign w:val="bottom"/>
            <w:gridSpan w:val="3"/>
          </w:tcPr>
          <w:p>
            <w:pPr>
              <w:jc w:val="center"/>
              <w:ind w:left="1590"/>
              <w:spacing w:after="0"/>
              <w:rPr>
                <w:sz w:val="20"/>
                <w:szCs w:val="20"/>
                <w:color w:val="auto"/>
              </w:rPr>
            </w:pPr>
            <w:r>
              <w:rPr>
                <w:rFonts w:ascii="Arial" w:cs="Arial" w:eastAsia="Arial" w:hAnsi="Arial"/>
                <w:sz w:val="18"/>
                <w:szCs w:val="18"/>
                <w:color w:val="auto"/>
                <w:w w:val="99"/>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2140" w:type="dxa"/>
            <w:vAlign w:val="bottom"/>
            <w:tcBorders>
              <w:bottom w:val="single" w:sz="8" w:color="CCEEFF"/>
            </w:tcBorders>
            <w:gridSpan w:val="3"/>
            <w:shd w:val="clear" w:color="auto" w:fill="CCEEFF"/>
          </w:tcPr>
          <w:p>
            <w:pPr>
              <w:jc w:val="center"/>
              <w:ind w:left="15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r>
      <w:tr>
        <w:trPr>
          <w:trHeight w:val="297"/>
        </w:trPr>
        <w:tc>
          <w:tcPr>
            <w:tcW w:w="3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in computing basic</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per share</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50,001</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37,388</w:t>
            </w:r>
          </w:p>
        </w:tc>
        <w:tc>
          <w:tcPr>
            <w:tcW w:w="20" w:type="dxa"/>
            <w:vAlign w:val="bottom"/>
          </w:tcPr>
          <w:p>
            <w:pPr>
              <w:spacing w:after="0"/>
              <w:rPr>
                <w:sz w:val="20"/>
                <w:szCs w:val="20"/>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rPr>
              <w:t>Shares used in computing diluted</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income per share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50,001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37,388</w:t>
            </w:r>
          </w:p>
        </w:tc>
        <w:tc>
          <w:tcPr>
            <w:tcW w:w="20" w:type="dxa"/>
            <w:vAlign w:val="bottom"/>
          </w:tcPr>
          <w:p>
            <w:pPr>
              <w:spacing w:after="0"/>
              <w:rPr>
                <w:sz w:val="20"/>
                <w:szCs w:val="20"/>
                <w:color w:val="auto"/>
              </w:rPr>
            </w:pPr>
          </w:p>
        </w:tc>
      </w:tr>
      <w:tr>
        <w:trPr>
          <w:trHeight w:val="661"/>
        </w:trPr>
        <w:tc>
          <w:tcPr>
            <w:tcW w:w="10440" w:type="dxa"/>
            <w:vAlign w:val="bottom"/>
            <w:gridSpan w:val="10"/>
          </w:tcPr>
          <w:p>
            <w:pPr>
              <w:jc w:val="center"/>
              <w:ind w:left="910"/>
              <w:spacing w:after="0"/>
              <w:rPr>
                <w:sz w:val="20"/>
                <w:szCs w:val="20"/>
                <w:color w:val="auto"/>
              </w:rPr>
            </w:pPr>
            <w:r>
              <w:rPr>
                <w:rFonts w:ascii="Arial" w:cs="Arial" w:eastAsia="Arial" w:hAnsi="Arial"/>
                <w:sz w:val="18"/>
                <w:szCs w:val="18"/>
                <w:b w:val="1"/>
                <w:bCs w:val="1"/>
                <w:color w:val="auto"/>
              </w:rPr>
              <w:t>CONDENSED CONSOLIDATED STATEMENT OF COMPREHENSIVE INCOME</w:t>
            </w:r>
          </w:p>
        </w:tc>
        <w:tc>
          <w:tcPr>
            <w:tcW w:w="20" w:type="dxa"/>
            <w:vAlign w:val="bottom"/>
          </w:tcPr>
          <w:p>
            <w:pPr>
              <w:spacing w:after="0"/>
              <w:rPr>
                <w:sz w:val="24"/>
                <w:szCs w:val="24"/>
                <w:color w:val="auto"/>
              </w:rPr>
            </w:pPr>
          </w:p>
        </w:tc>
      </w:tr>
      <w:tr>
        <w:trPr>
          <w:trHeight w:val="230"/>
        </w:trPr>
        <w:tc>
          <w:tcPr>
            <w:tcW w:w="3800" w:type="dxa"/>
            <w:vAlign w:val="bottom"/>
          </w:tcPr>
          <w:p>
            <w:pPr>
              <w:spacing w:after="0"/>
              <w:rPr>
                <w:sz w:val="20"/>
                <w:szCs w:val="20"/>
                <w:color w:val="auto"/>
              </w:rPr>
            </w:pPr>
          </w:p>
        </w:tc>
        <w:tc>
          <w:tcPr>
            <w:tcW w:w="44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(Unaudited, in thousands of U.S. dollars)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3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February 20, 2015 (date of</w:t>
            </w:r>
          </w:p>
        </w:tc>
        <w:tc>
          <w:tcPr>
            <w:tcW w:w="20" w:type="dxa"/>
            <w:vAlign w:val="bottom"/>
          </w:tcPr>
          <w:p>
            <w:pPr>
              <w:spacing w:after="0"/>
              <w:rPr>
                <w:sz w:val="24"/>
                <w:szCs w:val="24"/>
                <w:color w:val="auto"/>
              </w:rPr>
            </w:pPr>
          </w:p>
        </w:tc>
      </w:tr>
      <w:tr>
        <w:trPr>
          <w:trHeight w:val="234"/>
        </w:trPr>
        <w:tc>
          <w:tcPr>
            <w:tcW w:w="3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incorporation) to</w:t>
            </w:r>
          </w:p>
        </w:tc>
        <w:tc>
          <w:tcPr>
            <w:tcW w:w="20" w:type="dxa"/>
            <w:vAlign w:val="bottom"/>
          </w:tcPr>
          <w:p>
            <w:pPr>
              <w:spacing w:after="0"/>
              <w:rPr>
                <w:sz w:val="20"/>
                <w:szCs w:val="20"/>
                <w:color w:val="auto"/>
              </w:rPr>
            </w:pPr>
          </w:p>
        </w:tc>
      </w:tr>
      <w:tr>
        <w:trPr>
          <w:trHeight w:val="270"/>
        </w:trPr>
        <w:tc>
          <w:tcPr>
            <w:tcW w:w="3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September 30, 2015</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3"/>
                <w:szCs w:val="23"/>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60"/>
          </w:cols>
          <w:pgMar w:left="240" w:top="364" w:right="1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LIVANOVA PLC</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8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CONDENSED CONSOLIDATED BALANCE SHEET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jc w:val="center"/>
              <w:ind w:left="2970"/>
              <w:spacing w:after="0"/>
              <w:rPr>
                <w:sz w:val="20"/>
                <w:szCs w:val="20"/>
                <w:color w:val="auto"/>
              </w:rPr>
            </w:pPr>
            <w:r>
              <w:rPr>
                <w:rFonts w:ascii="Arial" w:cs="Arial" w:eastAsia="Arial" w:hAnsi="Arial"/>
                <w:sz w:val="18"/>
                <w:szCs w:val="18"/>
                <w:color w:val="auto"/>
                <w:w w:val="91"/>
              </w:rPr>
              <w:t>(Unaudited, in thousands of U.S. dollars)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2015</w:t>
            </w:r>
          </w:p>
        </w:tc>
        <w:tc>
          <w:tcPr>
            <w:tcW w:w="0" w:type="dxa"/>
            <w:vAlign w:val="bottom"/>
          </w:tcPr>
          <w:p>
            <w:pPr>
              <w:spacing w:after="0"/>
              <w:rPr>
                <w:sz w:val="1"/>
                <w:szCs w:val="1"/>
                <w:color w:val="auto"/>
              </w:rPr>
            </w:pPr>
          </w:p>
        </w:tc>
      </w:tr>
      <w:tr>
        <w:trPr>
          <w:trHeight w:val="27"/>
        </w:trPr>
        <w:tc>
          <w:tcPr>
            <w:tcW w:w="8380" w:type="dxa"/>
            <w:vAlign w:val="bottom"/>
            <w:vMerge w:val="restart"/>
          </w:tcPr>
          <w:p>
            <w:pPr>
              <w:ind w:left="38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 from Sorin S.p.A.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838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8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80" w:type="dxa"/>
            <w:vAlign w:val="bottom"/>
          </w:tcPr>
          <w:p>
            <w:pPr>
              <w:ind w:left="40"/>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Ordinary shares</w:t>
            </w:r>
          </w:p>
        </w:tc>
        <w:tc>
          <w:tcPr>
            <w:tcW w:w="20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stock</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838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240" w:top="580" w:right="1179" w:bottom="1440" w:gutter="0" w:footer="0" w:header="0"/>
        </w:sectPr>
      </w:pPr>
    </w:p>
    <w:bookmarkStart w:id="5" w:name="page6"/>
    <w:bookmarkEnd w:id="5"/>
    <w:p>
      <w:pPr>
        <w:jc w:val="center"/>
        <w:ind w:right="-77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(Unaudited,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February 20, 2015 (date of</w:t>
            </w:r>
          </w:p>
        </w:tc>
      </w:tr>
      <w:tr>
        <w:trPr>
          <w:trHeight w:val="234"/>
        </w:trPr>
        <w:tc>
          <w:tcPr>
            <w:tcW w:w="58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incorporation) to</w:t>
            </w:r>
          </w:p>
        </w:tc>
      </w:tr>
      <w:tr>
        <w:trPr>
          <w:trHeight w:val="270"/>
        </w:trPr>
        <w:tc>
          <w:tcPr>
            <w:tcW w:w="58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September 30, 2015</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 2015</w:t>
            </w: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940" w:type="dxa"/>
            <w:vAlign w:val="bottom"/>
          </w:tcPr>
          <w:p>
            <w:pPr>
              <w:jc w:val="right"/>
              <w:ind w:right="17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Unrealized gain in foreign currency transactions</w:t>
            </w:r>
          </w:p>
        </w:tc>
        <w:tc>
          <w:tcPr>
            <w:tcW w:w="19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860" w:type="dxa"/>
            <w:vAlign w:val="bottom"/>
          </w:tcPr>
          <w:p>
            <w:pPr>
              <w:ind w:left="40"/>
              <w:spacing w:after="0"/>
              <w:rPr>
                <w:sz w:val="20"/>
                <w:szCs w:val="20"/>
                <w:color w:val="auto"/>
              </w:rPr>
            </w:pPr>
            <w:r>
              <w:rPr>
                <w:rFonts w:ascii="Arial" w:cs="Arial" w:eastAsia="Arial" w:hAnsi="Arial"/>
                <w:sz w:val="18"/>
                <w:szCs w:val="18"/>
                <w:color w:val="auto"/>
              </w:rPr>
              <w:t>Cash Flow From Investing Activities</w:t>
            </w:r>
          </w:p>
        </w:tc>
        <w:tc>
          <w:tcPr>
            <w:tcW w:w="19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1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8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9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1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9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in cash and cash equivalents</w:t>
            </w:r>
          </w:p>
        </w:tc>
        <w:tc>
          <w:tcPr>
            <w:tcW w:w="1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40" w:type="dxa"/>
            <w:vAlign w:val="bottom"/>
          </w:tcPr>
          <w:p>
            <w:pPr>
              <w:spacing w:after="0"/>
              <w:rPr>
                <w:sz w:val="21"/>
                <w:szCs w:val="21"/>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4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Supplementary Disclosures of non-cash activity in financing:</w:t>
            </w:r>
          </w:p>
        </w:tc>
        <w:tc>
          <w:tcPr>
            <w:tcW w:w="1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Issuance of shares resulting in stock subscription receivable</w:t>
            </w:r>
          </w:p>
        </w:tc>
        <w:tc>
          <w:tcPr>
            <w:tcW w:w="1940" w:type="dxa"/>
            <w:vAlign w:val="bottom"/>
          </w:tcPr>
          <w:p>
            <w:pPr>
              <w:jc w:val="right"/>
              <w:ind w:right="17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75</w:t>
            </w:r>
          </w:p>
        </w:tc>
        <w:tc>
          <w:tcPr>
            <w:tcW w:w="3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240" w:top="364"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Organization, Consolidation, Basis of Presentation, Business Description and Accounting Policies</w:t>
      </w:r>
    </w:p>
    <w:p>
      <w:pPr>
        <w:spacing w:after="0" w:line="225" w:lineRule="exact"/>
        <w:rPr>
          <w:sz w:val="20"/>
          <w:szCs w:val="20"/>
          <w:color w:val="auto"/>
        </w:rPr>
      </w:pPr>
    </w:p>
    <w:p>
      <w:pPr>
        <w:jc w:val="both"/>
        <w:ind w:right="80" w:firstLine="162"/>
        <w:spacing w:after="0" w:line="259" w:lineRule="auto"/>
        <w:rPr>
          <w:sz w:val="20"/>
          <w:szCs w:val="20"/>
          <w:color w:val="auto"/>
        </w:rPr>
      </w:pPr>
      <w:r>
        <w:rPr>
          <w:rFonts w:ascii="Arial" w:cs="Arial" w:eastAsia="Arial" w:hAnsi="Arial"/>
          <w:sz w:val="18"/>
          <w:szCs w:val="18"/>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133"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this Form 10-Q we are reporting the shell company results for LivaNova and Merger Sub for the three months ended September 30, 2015 and for the period from February 20, 2015, LivaNova’s date of incorporation, to September 30, 2015. As of September 30, 2015, LivaNova was a wholly owned subsidiary of Sorin, and Merger Sub, also a shell company, was wholly owned by LivaNova and was the sole subsidiary of LivaNova. Prior to September 30, 2015, and during the period reported herein, LivaNova did not conduct any activities other than those incidental to the formation of it and Merger Sub and matters contemplated by the Merger Agreement (as defined below).</w:t>
      </w:r>
    </w:p>
    <w:p>
      <w:pPr>
        <w:spacing w:after="0" w:line="134" w:lineRule="exact"/>
        <w:rPr>
          <w:sz w:val="20"/>
          <w:szCs w:val="20"/>
          <w:color w:val="auto"/>
        </w:rPr>
      </w:pPr>
    </w:p>
    <w:p>
      <w:pPr>
        <w:ind w:right="100" w:firstLine="162"/>
        <w:spacing w:after="0" w:line="290" w:lineRule="auto"/>
        <w:rPr>
          <w:sz w:val="20"/>
          <w:szCs w:val="20"/>
          <w:color w:val="auto"/>
        </w:rPr>
      </w:pPr>
      <w:r>
        <w:rPr>
          <w:rFonts w:ascii="Arial" w:cs="Arial" w:eastAsia="Arial" w:hAnsi="Arial"/>
          <w:sz w:val="16"/>
          <w:szCs w:val="16"/>
          <w:color w:val="auto"/>
        </w:rPr>
        <w:t>On October 19, 2015, subsequent to the period ended September 30, 2015 as reported herein, and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 As a result of the Mergers, LivaNova became the holding company of the combined businesses of Cyberonics and Sorin. On October 19, 2015, LivaNova’s ordinary shares were listed for trading on NASDAQ Global Market (“NASDAQ”) and the London Stock Exchange (“LSE”) under the trading symbol “LIVN”. Events subsequent to September 30, 2015, including the completion of the Mergers, are not reflected in the condensed consolidated financial statements included in this Quarterly Report on Form 10-Q other than through disclosure.</w:t>
      </w:r>
    </w:p>
    <w:p>
      <w:pPr>
        <w:spacing w:after="0" w:line="11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For further information regarding the parties to the Merger, refer to the section entitled “Note 2 - The Merger Parties”. For further information regarding the Mergers, refer to the section entitled “Note 6 - Subsequent Events”.</w:t>
      </w:r>
    </w:p>
    <w:p>
      <w:pPr>
        <w:spacing w:after="0" w:line="116"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accompanying unaudited condensed consolidated financial statements of LivaNova have been prepared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principles generally accepted in the United States of America (“U.S.” and such principles, “U.S. GAAP”) for interim financial information and the instructions to Form 10-Q and Article 10 of Regulation S-X. All intercompany accounts and transactions have been eliminated. Accordingly, they may not include all of the information necessary for complete financial statements in conformity with U.S. GAAP. In the opinion of management, the condensed consolidated financial statements reflect all adjustments (consisting of normal recurring adjustments) considered necessary for a fair presentation of the results of LivaNova and its subsidiary, operating as a shell company, for the periods presented and are not indicative of the results that may be expected for any other interim period or the transitional year from April 25, 2015 to December 31, 2015.</w:t>
      </w:r>
    </w:p>
    <w:p>
      <w:pPr>
        <w:spacing w:after="0" w:line="124"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i w:val="1"/>
          <w:iCs w:val="1"/>
          <w:color w:val="auto"/>
        </w:rPr>
        <w:t xml:space="preserve">Foreign Currency Transactions. </w:t>
      </w:r>
      <w:r>
        <w:rPr>
          <w:rFonts w:ascii="Arial" w:cs="Arial" w:eastAsia="Arial" w:hAnsi="Arial"/>
          <w:sz w:val="18"/>
          <w:szCs w:val="18"/>
          <w:color w:val="auto"/>
        </w:rPr>
        <w:t>The currency of the primary economic environment in which LivaNova will operate, LivaNova’s “functional currency,” is</w:t>
      </w:r>
      <w:r>
        <w:rPr>
          <w:rFonts w:ascii="Arial" w:cs="Arial" w:eastAsia="Arial" w:hAnsi="Arial"/>
          <w:sz w:val="18"/>
          <w:szCs w:val="18"/>
          <w:i w:val="1"/>
          <w:iCs w:val="1"/>
          <w:color w:val="auto"/>
        </w:rPr>
        <w:t xml:space="preserve"> </w:t>
      </w:r>
      <w:r>
        <w:rPr>
          <w:rFonts w:ascii="Arial" w:cs="Arial" w:eastAsia="Arial" w:hAnsi="Arial"/>
          <w:sz w:val="18"/>
          <w:szCs w:val="18"/>
          <w:color w:val="auto"/>
        </w:rPr>
        <w:t>the U.S. dollar. The transactional gains and losses arising during the periods covered by this report arise from a certain stock subscription receivable (see “Note 4 - Related Party Transactions”) which is denominated in pound sterling and reflect changes in value of the receivable, as measured in U.S. dollars, as a result of foreign currency exchange rate variances.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Note 2 – The Merger Parties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LivaNova</w:t>
      </w:r>
    </w:p>
    <w:p>
      <w:pPr>
        <w:spacing w:after="0" w:line="171"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LivaNova was incorporated on February 20, 2015 for the purpose of merging Cyberonics and Sorin, which Mergers were completed on October 19, 2015 (subsequent to the periods reported herein). Prior to the completion of the Mergers, the principal executive offices of Cyberonics and Sorin were located in Houston, Texas, and Milan, Italy, respectively. However beginning October 19, 2015, the principal executive offices of both companies, under the LivaNova masthead, were relocated to London, United Kingdom.</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Cyberonics</w:t>
      </w:r>
    </w:p>
    <w:p>
      <w:pPr>
        <w:spacing w:after="0" w:line="171" w:lineRule="exact"/>
        <w:rPr>
          <w:sz w:val="20"/>
          <w:szCs w:val="20"/>
          <w:color w:val="auto"/>
        </w:rPr>
      </w:pPr>
    </w:p>
    <w:p>
      <w:pPr>
        <w:ind w:right="320" w:firstLine="162"/>
        <w:spacing w:after="0" w:line="247" w:lineRule="auto"/>
        <w:rPr>
          <w:sz w:val="20"/>
          <w:szCs w:val="20"/>
          <w:color w:val="auto"/>
        </w:rPr>
      </w:pPr>
      <w:r>
        <w:rPr>
          <w:rFonts w:ascii="Arial" w:cs="Arial" w:eastAsia="Arial" w:hAnsi="Arial"/>
          <w:sz w:val="18"/>
          <w:szCs w:val="18"/>
          <w:color w:val="auto"/>
        </w:rPr>
        <w:t>Cyberonics is a medical device company, incorporated in 1987, with core expertise in neuromodulation. Cyberonics developed and markets its VNS Therapy® System, an implantable medical device that delivers a unique form of therapy, using pulsed electrical signals applied to the vagus nerve for the treatment of refractory epilepsy and treatment-resistant depression. Cyberonics has also obtained CE mark approval to sell its VITARIA</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System, a treatment for chronic heart failure, in the European Economic Area. The device remains investigational for chronic heart failure elsewhere in the world, including the U.S.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Sorin</w:t>
      </w:r>
    </w:p>
    <w:p>
      <w:pPr>
        <w:spacing w:after="0" w:line="171"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Sorin is a multinational corporation and global leader in the field of medical devices for the treatment of cardiovascular diseases. Sorin develops, produces and distributes medical devices for cardiac surgery and the treatment of cardiac rhythm dysfunctions. Through steady growth and expansion, Sorin has become a market leader in medical technologies for treating cardiovascular disease, and has become the global leader in the cardiopulmonary market. Sorin is focused on two main therapeutic areas: cardiac surgery, consisting of systems and disposable biomedical devices for extracorporeal circulation during heart surgery and implantable prostheses to replace or repair native heart valves; and cardiac rhythm management, consisting of implantable devices, monitoring systems and accessories for cardiac rhythm dysfunctions.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Shareholder Equity</w:t>
      </w:r>
    </w:p>
    <w:p>
      <w:pPr>
        <w:spacing w:after="0" w:line="225" w:lineRule="exact"/>
        <w:rPr>
          <w:sz w:val="20"/>
          <w:szCs w:val="20"/>
          <w:color w:val="auto"/>
        </w:rPr>
      </w:pPr>
    </w:p>
    <w:p>
      <w:pPr>
        <w:jc w:val="both"/>
        <w:ind w:right="120" w:firstLine="162"/>
        <w:spacing w:after="0" w:line="259" w:lineRule="auto"/>
        <w:rPr>
          <w:sz w:val="20"/>
          <w:szCs w:val="20"/>
          <w:color w:val="auto"/>
        </w:rPr>
      </w:pPr>
      <w:r>
        <w:rPr>
          <w:rFonts w:ascii="Arial" w:cs="Arial" w:eastAsia="Arial" w:hAnsi="Arial"/>
          <w:sz w:val="18"/>
          <w:szCs w:val="18"/>
          <w:color w:val="auto"/>
        </w:rPr>
        <w:t>LivaNova’s authorized ordinary share capital consists of voting shares, par value of £1.00. As of September 30, 2015 outstanding ordinary voting shares consisted of one share issued to Sorin. LivaNova’s authorized redeemable share capital consists of non-voting shares, par value £1.00. As of September 30, 2015 outstanding redeemable non-voting shares consisted of 50,000 shares issued to Sorin in return for a certain stock subscription receivable, see “Note 4 - Related Party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Related Party Transactions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2015, a stock subscription receivable of $76 thousand was due from Sorin.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LivaNova had no contingencies as of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Subsequent Events</w:t>
      </w:r>
    </w:p>
    <w:p>
      <w:pPr>
        <w:spacing w:after="0" w:line="225"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Effective October 19, 2015, following the completion of the Mergers, LivaNova became the holding company of the combined businesses of Cyberonics and Sorin, and LivaNova’s ordinary shares were listed, under the ticker symbol “LIVN”, on NASDAQ and the LSE.</w:t>
      </w:r>
    </w:p>
    <w:p>
      <w:pPr>
        <w:spacing w:after="0" w:line="13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Prior to the Mergers, shares of Cyberonics common stock were registered pursuant to Section 12(b) of the Securities Exchange Act of 1934, as amended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SEC regarding the withdrawal of shares of Cyberonics common stock from listing and to terminate the registration of such shares under Section 12(b) of the Exchange Act.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8" w:right="279" w:bottom="1440" w:gutter="0" w:footer="0" w:header="0"/>
        </w:sectPr>
      </w:pPr>
    </w:p>
    <w:bookmarkStart w:id="8" w:name="page9"/>
    <w:bookmarkEnd w:id="8"/>
    <w:p>
      <w:pPr>
        <w:ind w:firstLine="162"/>
        <w:spacing w:after="0" w:line="276" w:lineRule="auto"/>
        <w:rPr>
          <w:sz w:val="20"/>
          <w:szCs w:val="20"/>
          <w:color w:val="auto"/>
        </w:rPr>
      </w:pPr>
      <w:r>
        <w:rPr>
          <w:rFonts w:ascii="Arial" w:cs="Arial" w:eastAsia="Arial" w:hAnsi="Arial"/>
          <w:sz w:val="17"/>
          <w:szCs w:val="17"/>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under the Exchange Act. As such the ordinary shares of LivaNova are deemed to be registered under Section 12(b) of the Exchange Act, and LivaNova is subject to the informational requirements of the Exchange Act and the rules and regulations promulgated thereunder.</w:t>
      </w:r>
    </w:p>
    <w:p>
      <w:pPr>
        <w:spacing w:after="0" w:line="64"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Based on the relative voting rights of Cyberonics and Sorin shareholders immediately following completion of the Mergers and the premium paid by Cyberonics for Sorin ordinary shares, and after taking into consideration all relevant facts, Cyberonics is considered to be the acquirer for accounting purposes. As a result, future quarterly filings on Form 10-Q and annual reports on Form 10-K will account for the Mergers as a reverse acquisition and the Mergers will be reported as a business combination using the acquisition method of accounting. As a result of the Mergers, on October 19, 2015, LivaNova issued 48.8 million ordinary shares.</w:t>
      </w:r>
    </w:p>
    <w:p>
      <w:pPr>
        <w:spacing w:after="0" w:line="80" w:lineRule="exact"/>
        <w:rPr>
          <w:sz w:val="20"/>
          <w:szCs w:val="20"/>
          <w:color w:val="auto"/>
        </w:rPr>
      </w:pPr>
    </w:p>
    <w:p>
      <w:pPr>
        <w:ind w:right="80" w:firstLine="162"/>
        <w:spacing w:after="0" w:line="270" w:lineRule="auto"/>
        <w:rPr>
          <w:sz w:val="20"/>
          <w:szCs w:val="20"/>
          <w:color w:val="auto"/>
        </w:rPr>
      </w:pPr>
      <w:r>
        <w:rPr>
          <w:rFonts w:ascii="Arial" w:cs="Arial" w:eastAsia="Arial" w:hAnsi="Arial"/>
          <w:sz w:val="17"/>
          <w:szCs w:val="17"/>
          <w:color w:val="auto"/>
        </w:rPr>
        <w:t>KPMG LLP (“KPMG”) was the independent auditor that audited Cyberonics’ financial statements for the fiscal years ended April 25, 2014 and April 24, 2015. In connection with the consummation of the Mergers, on October 19, 2015, the Audit &amp; Compliance Committee (the “Audit Committee”) of LivaNova’s board of directors approved the engagement of PricewaterhouseCoopers S.p.A. (“PricewaterhouseCoopers”) as LivaNova’s independent registered public accountants to audit the financial statements of LivaNova and its consolidated subsidiaries for the transitional fiscal period beginning April 25, 2015 and ending on December 31, 2015, such engagement to be effective immediately. Accordingly, the Audit Committee of LivaNova’s board of directors will dismiss KPMG as the independent registered public accountants of Cyberonics upon completion by KPMG of its review, in accordance with auditing standards generally accepted in the United States of America, applicable to the interim financial information of Cyberonics to be included in the Transition Report on Form 10-Q to be filed by LivaNova with the Securities and Exchange Commission (the “SEC”) for the period beginning on April 25, 2015 and ending on October 18, 2015.</w:t>
      </w:r>
    </w:p>
    <w:p>
      <w:pPr>
        <w:spacing w:after="0" w:line="74" w:lineRule="exact"/>
        <w:rPr>
          <w:sz w:val="20"/>
          <w:szCs w:val="20"/>
          <w:color w:val="auto"/>
        </w:rPr>
      </w:pPr>
    </w:p>
    <w:p>
      <w:pPr>
        <w:jc w:val="both"/>
        <w:ind w:right="80" w:firstLine="162"/>
        <w:spacing w:after="0" w:line="312" w:lineRule="auto"/>
        <w:rPr>
          <w:sz w:val="20"/>
          <w:szCs w:val="20"/>
          <w:color w:val="auto"/>
        </w:rPr>
      </w:pPr>
      <w:r>
        <w:rPr>
          <w:rFonts w:ascii="Arial" w:cs="Arial" w:eastAsia="Arial" w:hAnsi="Arial"/>
          <w:sz w:val="16"/>
          <w:szCs w:val="16"/>
          <w:color w:val="auto"/>
        </w:rPr>
        <w:t>On September 8, 2015, the LivaNova Board of Directors also entered into a service agreement with Vivid Sehgal, effective October 19, 2015, pursuant to which Mr. Sehgal became the Chief Financial Officer of LivaNova. On October 19, 2015, the LivaNova Board of Directors entered into a service agreement with André-Michel Ballester pursuant to which Mr. Ballester became LivaNova’s Chief Executive Officer, effective October 19, 2015.</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68"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ind w:firstLine="162"/>
        <w:spacing w:after="0" w:line="284" w:lineRule="auto"/>
        <w:rPr>
          <w:sz w:val="20"/>
          <w:szCs w:val="20"/>
          <w:color w:val="auto"/>
        </w:rPr>
      </w:pPr>
      <w:r>
        <w:rPr>
          <w:rFonts w:ascii="Arial" w:cs="Arial" w:eastAsia="Arial" w:hAnsi="Arial"/>
          <w:sz w:val="16"/>
          <w:szCs w:val="16"/>
          <w:i w:val="1"/>
          <w:iCs w:val="1"/>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“expect,” “anticipate,” “estimate,” “plan,” “intend,” “forecast,”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 the risks, uncertainties and factors set forth in the “Risk Factors” section of the Registration Statement on Form S-4, previous or future Quarterly Reports on Form 10-Q and Annual Reports on Form 10-K and other documents that have been or will be filed with the SEC by LivaNova; business and financial risks inherent to the industries in which LivaNova operates; our ability to hire and retain key personnel; our ability to attract new customers and retain existing customers in the manner anticipated; the reliance on and integration of information technology systems; changes in legislation or governmental regulations affecting LivaNova; changes relating to competitive factors in the industries in which LivaNova operates; international, national or local economic, social or political conditions that could adversely affect LivaNova, its partners or its customers; conditions in the credit markets; risks associated with assumptions made in connection with critical accounting estimates and legal proceedings; our organizational and governance structure; risks that the businesses of Cyberonics and Sorin (together, the “combined companies”) will not be integrated successfully or that the combined companies will not realize estimated cost savings, value of certain tax assets, synergies and growth, or that such benefits may take longer to realize than expected; the inability of LivaNova to meet expectations regarding the timing, completion and accounting of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66"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i w:val="1"/>
          <w:iCs w:val="1"/>
          <w:color w:val="auto"/>
        </w:rPr>
        <w:t>These factors are not necessarily all of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Company’s Combined Condensed Consolidated Financial Statements and accompanying notes, which appear elsewhere in this Quarterly Report on Form 10-Q.</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 * * *</w:t>
      </w:r>
    </w:p>
    <w:p>
      <w:pPr>
        <w:spacing w:after="0" w:line="162" w:lineRule="exact"/>
        <w:rPr>
          <w:sz w:val="20"/>
          <w:szCs w:val="20"/>
          <w:color w:val="auto"/>
        </w:rPr>
      </w:pPr>
    </w:p>
    <w:p>
      <w:pPr>
        <w:ind w:right="100" w:firstLine="81"/>
        <w:spacing w:after="0" w:line="257" w:lineRule="auto"/>
        <w:rPr>
          <w:sz w:val="20"/>
          <w:szCs w:val="20"/>
          <w:color w:val="auto"/>
        </w:rPr>
      </w:pPr>
      <w:r>
        <w:rPr>
          <w:rFonts w:ascii="Arial" w:cs="Arial" w:eastAsia="Arial" w:hAnsi="Arial"/>
          <w:sz w:val="18"/>
          <w:szCs w:val="18"/>
          <w:color w:val="auto"/>
        </w:rPr>
        <w:t>LivaNova was formed February 20, 2015, for the purpose of facilitating the business combination between Cyberonics and Sorin. LivaNova and its sole subsidiary, Merger Sub, did not commence operations, had no significant assets or liabilities and did not conduct any activities other than those incidental to its formation and matters contemplated by the Merger Agreement during the period from February 20, 2015, LivaNova’s date of incorporation, to September 30, 2015. Refer to Form 8-K12B (File No. 001-37599) filed by LivaNova on October 19, 2015 for further information with regard to the results of the Mergers.</w:t>
      </w:r>
    </w:p>
    <w:p>
      <w:pPr>
        <w:spacing w:after="0" w:line="80" w:lineRule="exact"/>
        <w:rPr>
          <w:sz w:val="20"/>
          <w:szCs w:val="20"/>
          <w:color w:val="auto"/>
        </w:rPr>
      </w:pPr>
    </w:p>
    <w:p>
      <w:pPr>
        <w:ind w:right="160" w:firstLine="81"/>
        <w:spacing w:after="0" w:line="264" w:lineRule="auto"/>
        <w:rPr>
          <w:sz w:val="20"/>
          <w:szCs w:val="20"/>
          <w:color w:val="auto"/>
        </w:rPr>
      </w:pPr>
      <w:r>
        <w:rPr>
          <w:rFonts w:ascii="Arial" w:cs="Arial" w:eastAsia="Arial" w:hAnsi="Arial"/>
          <w:sz w:val="18"/>
          <w:szCs w:val="18"/>
          <w:color w:val="auto"/>
        </w:rPr>
        <w:t>The combined post-Mergers operations of LivaNova will be reported on a transitional Form 10-K within 60 days of the LivaNova fiscal period ending December 31, 2015. This transitional Form 10-K will include Cyberonics’ operating activities for the period from April 25, 2015 to December 31, 2015 and Sorin’s operational activities for the period from October 19, 2015 to December 31, 2015.</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ind w:right="60" w:firstLine="81"/>
        <w:spacing w:after="0" w:line="259" w:lineRule="auto"/>
        <w:rPr>
          <w:sz w:val="20"/>
          <w:szCs w:val="20"/>
          <w:color w:val="auto"/>
        </w:rPr>
      </w:pPr>
      <w:r>
        <w:rPr>
          <w:rFonts w:ascii="Arial" w:cs="Arial" w:eastAsia="Arial" w:hAnsi="Arial"/>
          <w:sz w:val="18"/>
          <w:szCs w:val="18"/>
          <w:color w:val="auto"/>
        </w:rPr>
        <w:t>For more information about LivaNova, please visit LivaNova’s website at www.livanova.com. LivaNova’s website address is provided as an inactive textual reference only. The information contained on LivaNova’s website is not incorporated into, and does not form a part of, this report or any other report or document on file with or furnished to the United States Securities and Exchange Commission (the “SEC”). Additional information about LivaNova is included in the documents incorporated by reference into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During the period covered by this report, LivaNova did not conduct any activities other than those incidental to its formation and matters contemplated by the Merger Agreement, and therefore did not incur any significant interest rate risk, liquidity risk, credit risk, foreign currency exchange rate risk or other relevant market risks.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15d-15(e) under the Exchange Act as of the end of the period covered by this report. Based upon that evaluation, the Chief Executive Officer and Chief Financial Officer have concluded that, as of the end of the period covered by this quarterly report, our disclosure controls and procedures (as defined in Rule 15d-15(e) of the Exchange Act)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LivaNova has been involved in certain legal proceedings as set forth under the caption “Litigation Related to the Sorin Merger” and “Business of Sorin and Certain Information about Sorin-Government Regulation and Other Considerations-Legal Proceedings” in the Prospectus pursuant to Rule 424(b)(3) (File No. 333-203510) filed by LivaNova with the SEC on August 21, 2015 (the “Prospectus”).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as of September 30, 2015, the following subsequent developments have arisen in regards to the disclosed litigation:</w:t>
      </w:r>
    </w:p>
    <w:p>
      <w:pPr>
        <w:spacing w:after="0" w:line="117"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color w:val="auto"/>
        </w:rPr>
        <w:t>SNIA Litigation. At a hearing in the Civil Court of Milan on September 8, 2015, each party to the SNIA litigation (as defined in the Prospectus) submitted its final claims (precisazione delle conclusioni) in connection with SNIA S.p.A.’s civil action, and the parties were subsequently granted the terms for filing final their defensive briefs in the matter. For further information in regards to the SNIA litigation, please see the section entitled “Business of Sorin and Certain Information about Sorin-Government Regulation and Other Considerations-Legal Proceedings-SNIA Litigation” of the Prospectus.</w:t>
      </w:r>
    </w:p>
    <w:p>
      <w:pPr>
        <w:spacing w:after="0" w:line="4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Litigation Related to the Sorin Merger. As disclosed in the Prospectus, on August 20, 2015, the Civil Court of Milan issued a ruling rejecting a claim from the Italian State’s Attorney of Milan, in the form of a creditor’s rights objection, seeking to enjoin the Sorin Merger. On September 8, it was confirmed that no appeal to this decision was filed within the prescribed deadline, and thus the determination of the Civil Court of Milan at first instance was made final, permitting the Sorin Merger to proceed. For further information in regards to the SNIA litigation, please see the section entitled “Business of Sorin and Certain Information about Sorin-Government Regulation and Other Considerations-Legal Proceedings-Litigation Related to the Sorin Merger” of the Prospectus.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LivaNova is subject to those risk factors set forth under the caption “Risk Factors”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SEC File or</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108"/>
        </w:trPr>
        <w:tc>
          <w:tcPr>
            <w:tcW w:w="1380" w:type="dxa"/>
            <w:vAlign w:val="bottom"/>
            <w:gridSpan w:val="2"/>
            <w:vMerge w:val="continue"/>
          </w:tcPr>
          <w:p>
            <w:pPr>
              <w:spacing w:after="0"/>
              <w:rPr>
                <w:sz w:val="9"/>
                <w:szCs w:val="9"/>
                <w:color w:val="auto"/>
              </w:rPr>
            </w:pPr>
          </w:p>
        </w:tc>
        <w:tc>
          <w:tcPr>
            <w:tcW w:w="4880" w:type="dxa"/>
            <w:vAlign w:val="bottom"/>
            <w:gridSpan w:val="2"/>
            <w:vMerge w:val="restart"/>
          </w:tcPr>
          <w:p>
            <w:pPr>
              <w:ind w:left="1520"/>
              <w:spacing w:after="0"/>
              <w:rPr>
                <w:sz w:val="20"/>
                <w:szCs w:val="20"/>
                <w:color w:val="auto"/>
              </w:rPr>
            </w:pPr>
            <w:r>
              <w:rPr>
                <w:rFonts w:ascii="Arial" w:cs="Arial" w:eastAsia="Arial" w:hAnsi="Arial"/>
                <w:sz w:val="18"/>
                <w:szCs w:val="18"/>
                <w:b w:val="1"/>
                <w:bCs w:val="1"/>
                <w:color w:val="auto"/>
              </w:rPr>
              <w:t>Document Description</w:t>
            </w: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6"/>
              </w:rPr>
              <w:t>Report or Registration Statement</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880" w:type="dxa"/>
            <w:vAlign w:val="bottom"/>
            <w:gridSpan w:val="2"/>
            <w:vMerge w:val="continue"/>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126"/>
        </w:trPr>
        <w:tc>
          <w:tcPr>
            <w:tcW w:w="1380" w:type="dxa"/>
            <w:vAlign w:val="bottom"/>
            <w:gridSpan w:val="2"/>
            <w:vMerge w:val="continue"/>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Transaction Agreement, dated as of March 23, 2015, by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LivaNova PLC Registration</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333-203510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among LivaNova PLC (f/k/a Sand Holdco Limited), Cyberonics,</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Statement on Form S-4, filed 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 Sorin S.p.A. and Cypher Merger Sub, Inc.</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 2015, as amended</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Articles of Association of LivaNova PLC</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LivaNova PLC Current Report on</w:t>
            </w:r>
          </w:p>
        </w:tc>
        <w:tc>
          <w:tcPr>
            <w:tcW w:w="1360" w:type="dxa"/>
            <w:vAlign w:val="bottom"/>
          </w:tcPr>
          <w:p>
            <w:pPr>
              <w:ind w:left="20"/>
              <w:spacing w:after="0"/>
              <w:rPr>
                <w:sz w:val="20"/>
                <w:szCs w:val="20"/>
                <w:color w:val="auto"/>
              </w:rPr>
            </w:pPr>
            <w:r>
              <w:rPr>
                <w:rFonts w:ascii="Arial" w:cs="Arial" w:eastAsia="Arial" w:hAnsi="Arial"/>
                <w:sz w:val="18"/>
                <w:szCs w:val="18"/>
                <w:color w:val="auto"/>
              </w:rPr>
              <w:t>001-37599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7"/>
              </w:rPr>
              <w:t>Form 8-K, filed on October 19, 2015</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Agreement dated as of September 8, 2015, by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LivaNova PLC Current Report on</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333-203510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between LivaNova PLC and Vivid Sehgal</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 8-K, filed on September 14,</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4860" w:type="dxa"/>
            <w:vAlign w:val="bottom"/>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r>
      <w:tr>
        <w:trPr>
          <w:trHeight w:val="216"/>
        </w:trPr>
        <w:tc>
          <w:tcPr>
            <w:tcW w:w="620" w:type="dxa"/>
            <w:vAlign w:val="bottom"/>
          </w:tcPr>
          <w:p>
            <w:pPr>
              <w:spacing w:after="0"/>
              <w:rPr>
                <w:sz w:val="18"/>
                <w:szCs w:val="18"/>
                <w:color w:val="auto"/>
              </w:rPr>
            </w:pPr>
          </w:p>
        </w:tc>
        <w:tc>
          <w:tcPr>
            <w:tcW w:w="4860" w:type="dxa"/>
            <w:vAlign w:val="bottom"/>
          </w:tcPr>
          <w:p>
            <w:pPr>
              <w:ind w:left="300"/>
              <w:spacing w:after="0"/>
              <w:rPr>
                <w:sz w:val="20"/>
                <w:szCs w:val="20"/>
                <w:color w:val="auto"/>
              </w:rPr>
            </w:pPr>
            <w:r>
              <w:rPr>
                <w:rFonts w:ascii="Arial" w:cs="Arial" w:eastAsia="Arial" w:hAnsi="Arial"/>
                <w:sz w:val="18"/>
                <w:szCs w:val="18"/>
                <w:color w:val="auto"/>
                <w:w w:val="97"/>
              </w:rPr>
              <w:t>among Cyberonics, Inc., Mittel S.p.A., Equinox Two S.c.a.,</w:t>
            </w:r>
          </w:p>
        </w:tc>
      </w:tr>
      <w:tr>
        <w:trPr>
          <w:trHeight w:val="230"/>
        </w:trPr>
        <w:tc>
          <w:tcPr>
            <w:tcW w:w="620" w:type="dxa"/>
            <w:vAlign w:val="bottom"/>
          </w:tcPr>
          <w:p>
            <w:pPr>
              <w:spacing w:after="0"/>
              <w:rPr>
                <w:sz w:val="20"/>
                <w:szCs w:val="20"/>
                <w:color w:val="auto"/>
              </w:rPr>
            </w:pPr>
          </w:p>
        </w:tc>
        <w:tc>
          <w:tcPr>
            <w:tcW w:w="4860" w:type="dxa"/>
            <w:vAlign w:val="bottom"/>
          </w:tcPr>
          <w:p>
            <w:pPr>
              <w:ind w:left="300"/>
              <w:spacing w:after="0"/>
              <w:rPr>
                <w:sz w:val="20"/>
                <w:szCs w:val="20"/>
                <w:color w:val="auto"/>
              </w:rPr>
            </w:pPr>
            <w:r>
              <w:rPr>
                <w:rFonts w:ascii="Arial" w:cs="Arial" w:eastAsia="Arial" w:hAnsi="Arial"/>
                <w:sz w:val="18"/>
                <w:szCs w:val="18"/>
                <w:color w:val="auto"/>
                <w:w w:val="90"/>
              </w:rPr>
              <w:t>Tower 6 S.à.r.l., Ghea S.r.l., Bios S.p.A. and Tower 6Bis S.à.r.l.</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333-203510</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7"/>
              </w:rPr>
              <w:t>Annex 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Statement on Form S-4, filed on</w:t>
            </w:r>
          </w:p>
        </w:tc>
        <w:tc>
          <w:tcPr>
            <w:tcW w:w="144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960" w:space="320"/>
            <w:col w:w="5120"/>
          </w:cols>
          <w:pgMar w:left="240" w:top="364" w:right="2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LivaNova PLC Registration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333-203510</w:t>
            </w:r>
          </w:p>
        </w:tc>
        <w:tc>
          <w:tcPr>
            <w:tcW w:w="11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7"/>
              </w:rPr>
              <w:t>Annex A-</w:t>
            </w:r>
          </w:p>
        </w:tc>
      </w:tr>
      <w:tr>
        <w:trPr>
          <w:trHeight w:val="216"/>
        </w:trPr>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among Cyberonics, Inc. and André-Michel Ballester</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on Form S-4, filed on</w:t>
            </w: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r>
      <w:tr>
        <w:trPr>
          <w:trHeight w:val="230"/>
        </w:trPr>
        <w:tc>
          <w:tcPr>
            <w:tcW w:w="11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2015, as amended</w:t>
            </w:r>
          </w:p>
        </w:tc>
        <w:tc>
          <w:tcPr>
            <w:tcW w:w="1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10.4</w:t>
            </w:r>
          </w:p>
        </w:tc>
        <w:tc>
          <w:tcPr>
            <w:tcW w:w="4520" w:type="dxa"/>
            <w:vAlign w:val="bottom"/>
          </w:tcPr>
          <w:p>
            <w:pPr>
              <w:ind w:left="300"/>
              <w:spacing w:after="0"/>
              <w:rPr>
                <w:sz w:val="20"/>
                <w:szCs w:val="20"/>
                <w:color w:val="auto"/>
              </w:rPr>
            </w:pPr>
            <w:r>
              <w:rPr>
                <w:rFonts w:ascii="Arial" w:cs="Arial" w:eastAsia="Arial" w:hAnsi="Arial"/>
                <w:sz w:val="18"/>
                <w:szCs w:val="18"/>
                <w:color w:val="auto"/>
                <w:w w:val="89"/>
              </w:rPr>
              <w:t>Support Agreement, dated as of February 26, 2015, by and</w:t>
            </w:r>
          </w:p>
        </w:tc>
      </w:tr>
      <w:tr>
        <w:trPr>
          <w:trHeight w:val="230"/>
        </w:trPr>
        <w:tc>
          <w:tcPr>
            <w:tcW w:w="62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among Cyberonics, Inc. and Rosario Bifulco</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333-203510</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7"/>
              </w:rPr>
              <w:t>Annex 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Statement on Form S-4, , filed on</w:t>
            </w:r>
          </w:p>
        </w:tc>
        <w:tc>
          <w:tcPr>
            <w:tcW w:w="138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620" w:space="660"/>
            <w:col w:w="5120"/>
          </w:cols>
          <w:pgMar w:left="240" w:top="364" w:right="2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w:t>
            </w: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LivaNova PLC Registration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333-203510</w:t>
            </w:r>
          </w:p>
        </w:tc>
        <w:tc>
          <w:tcPr>
            <w:tcW w:w="11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7"/>
              </w:rPr>
              <w:t>Annex A-</w:t>
            </w:r>
          </w:p>
        </w:tc>
      </w:tr>
      <w:tr>
        <w:trPr>
          <w:trHeight w:val="216"/>
        </w:trPr>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among Sorin S.p.A. and Daniel J. Moore</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on Form S-4, filed on</w:t>
            </w: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r>
      <w:tr>
        <w:trPr>
          <w:trHeight w:val="230"/>
        </w:trPr>
        <w:tc>
          <w:tcPr>
            <w:tcW w:w="11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2015, as amended</w:t>
            </w:r>
          </w:p>
        </w:tc>
        <w:tc>
          <w:tcPr>
            <w:tcW w:w="1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10.6</w:t>
            </w:r>
          </w:p>
        </w:tc>
        <w:tc>
          <w:tcPr>
            <w:tcW w:w="4520" w:type="dxa"/>
            <w:vAlign w:val="bottom"/>
          </w:tcPr>
          <w:p>
            <w:pPr>
              <w:ind w:left="300"/>
              <w:spacing w:after="0"/>
              <w:rPr>
                <w:sz w:val="20"/>
                <w:szCs w:val="20"/>
                <w:color w:val="auto"/>
              </w:rPr>
            </w:pPr>
            <w:r>
              <w:rPr>
                <w:rFonts w:ascii="Arial" w:cs="Arial" w:eastAsia="Arial" w:hAnsi="Arial"/>
                <w:sz w:val="18"/>
                <w:szCs w:val="18"/>
                <w:color w:val="auto"/>
                <w:w w:val="89"/>
              </w:rPr>
              <w:t>Support Agreement, dated as of February 26, 2015, by and</w:t>
            </w:r>
          </w:p>
        </w:tc>
      </w:tr>
      <w:tr>
        <w:trPr>
          <w:trHeight w:val="230"/>
        </w:trPr>
        <w:tc>
          <w:tcPr>
            <w:tcW w:w="62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among Sorin S.p.A. and Hugh M. Morrison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2947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333-203510</w:t>
            </w: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7"/>
              </w:rPr>
              <w:t>Annex 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Statement on Form S-4, filed on</w:t>
            </w:r>
          </w:p>
        </w:tc>
        <w:tc>
          <w:tcPr>
            <w:tcW w:w="144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2">
            <w:col w:w="5620" w:space="660"/>
            <w:col w:w="5120"/>
          </w:cols>
          <w:pgMar w:left="240" w:top="364" w:right="259" w:bottom="1440" w:gutter="0" w:footer="0" w:header="0"/>
          <w:type w:val="continuous"/>
        </w:sectPr>
      </w:pPr>
    </w:p>
    <w:p>
      <w:pPr>
        <w:ind w:left="44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 PLC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pursuant to Section 302 of the Sarbanes-Oxley Act of 2002</w:t>
      </w:r>
    </w:p>
    <w:p>
      <w:pPr>
        <w:spacing w:after="0" w:line="60"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of LivaNova PLC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pursuant to Section 302 of the Sarbanes-Oxley Act of 2002</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4" w:right="2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w:t>
            </w: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Certification of the Chief Executive Officer and Chief Financial</w:t>
            </w:r>
          </w:p>
        </w:tc>
      </w:tr>
      <w:tr>
        <w:trPr>
          <w:trHeight w:val="216"/>
        </w:trPr>
        <w:tc>
          <w:tcPr>
            <w:tcW w:w="1120" w:type="dxa"/>
            <w:vAlign w:val="bottom"/>
            <w:shd w:val="clear" w:color="auto" w:fill="CCEEFF"/>
          </w:tcPr>
          <w:p>
            <w:pPr>
              <w:spacing w:after="0"/>
              <w:rPr>
                <w:sz w:val="18"/>
                <w:szCs w:val="18"/>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Officer of LivaNova PLC, pursuant to Section 906 of the</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0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Sarbanes-Oxley Act of 2002</w:t>
            </w:r>
          </w:p>
        </w:tc>
      </w:tr>
      <w:tr>
        <w:trPr>
          <w:trHeight w:val="229"/>
        </w:trPr>
        <w:tc>
          <w:tcPr>
            <w:tcW w:w="11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280" w:type="dxa"/>
            <w:vAlign w:val="bottom"/>
          </w:tcPr>
          <w:p>
            <w:pPr>
              <w:ind w:left="300"/>
              <w:spacing w:after="0"/>
              <w:rPr>
                <w:sz w:val="20"/>
                <w:szCs w:val="20"/>
                <w:color w:val="auto"/>
              </w:rPr>
            </w:pPr>
            <w:r>
              <w:rPr>
                <w:rFonts w:ascii="Arial" w:cs="Arial" w:eastAsia="Arial" w:hAnsi="Arial"/>
                <w:sz w:val="18"/>
                <w:szCs w:val="18"/>
                <w:color w:val="auto"/>
              </w:rPr>
              <w:t>Interactive Data Files for LivaNova PLC, pursuant to Rule 405 of</w:t>
            </w:r>
          </w:p>
        </w:tc>
      </w:tr>
      <w:tr>
        <w:trPr>
          <w:trHeight w:val="230"/>
        </w:trPr>
        <w:tc>
          <w:tcPr>
            <w:tcW w:w="112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Regulation S-T: (i) the Condensed Consolidated Statement of</w:t>
            </w:r>
          </w:p>
        </w:tc>
      </w:tr>
    </w:tbl>
    <w:p>
      <w:pPr>
        <w:ind w:left="1420"/>
        <w:spacing w:after="0"/>
        <w:rPr>
          <w:sz w:val="20"/>
          <w:szCs w:val="20"/>
          <w:color w:val="auto"/>
        </w:rPr>
      </w:pPr>
      <w:r>
        <w:rPr>
          <w:rFonts w:ascii="Arial" w:cs="Arial" w:eastAsia="Arial" w:hAnsi="Arial"/>
          <w:sz w:val="18"/>
          <w:szCs w:val="18"/>
          <w:color w:val="auto"/>
        </w:rPr>
        <w:t>Income for the periods presented, (ii) the Condensed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 of Comprehensive Income for the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periods presented, (iii) the Condensed Consolidated Balance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Sheet for the period ended September 30, 2015, (iv) the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Condensed Consolidated Statement of Cash Flows for the periods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presented and (v) the Notes to the Condensed Consolidated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18" w:right="259" w:bottom="1440" w:gutter="0" w:footer="0" w:header="0"/>
        </w:sectPr>
      </w:pPr>
    </w:p>
    <w:bookmarkStart w:id="13" w:name="page14"/>
    <w:bookmarkEnd w:id="13"/>
    <w:p>
      <w:pPr>
        <w:ind w:firstLine="162"/>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Date: November 6, 2015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LIVANOVA PLC</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6"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SEC File or</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108"/>
        </w:trPr>
        <w:tc>
          <w:tcPr>
            <w:tcW w:w="1380" w:type="dxa"/>
            <w:vAlign w:val="bottom"/>
            <w:gridSpan w:val="2"/>
            <w:vMerge w:val="continue"/>
          </w:tcPr>
          <w:p>
            <w:pPr>
              <w:spacing w:after="0"/>
              <w:rPr>
                <w:sz w:val="9"/>
                <w:szCs w:val="9"/>
                <w:color w:val="auto"/>
              </w:rPr>
            </w:pPr>
          </w:p>
        </w:tc>
        <w:tc>
          <w:tcPr>
            <w:tcW w:w="4880" w:type="dxa"/>
            <w:vAlign w:val="bottom"/>
            <w:gridSpan w:val="2"/>
            <w:vMerge w:val="restart"/>
          </w:tcPr>
          <w:p>
            <w:pPr>
              <w:ind w:left="1520"/>
              <w:spacing w:after="0"/>
              <w:rPr>
                <w:sz w:val="20"/>
                <w:szCs w:val="20"/>
                <w:color w:val="auto"/>
              </w:rPr>
            </w:pPr>
            <w:r>
              <w:rPr>
                <w:rFonts w:ascii="Arial" w:cs="Arial" w:eastAsia="Arial" w:hAnsi="Arial"/>
                <w:sz w:val="18"/>
                <w:szCs w:val="18"/>
                <w:b w:val="1"/>
                <w:bCs w:val="1"/>
                <w:color w:val="auto"/>
              </w:rPr>
              <w:t>Document Description</w:t>
            </w: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6"/>
              </w:rPr>
              <w:t>Report or Registration Statement</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880" w:type="dxa"/>
            <w:vAlign w:val="bottom"/>
            <w:gridSpan w:val="2"/>
            <w:vMerge w:val="continue"/>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126"/>
        </w:trPr>
        <w:tc>
          <w:tcPr>
            <w:tcW w:w="1380" w:type="dxa"/>
            <w:vAlign w:val="bottom"/>
            <w:gridSpan w:val="2"/>
            <w:vMerge w:val="continue"/>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Transaction Agreement, dated as of March 23, 2015, by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LivaNova PLC Registration</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333-203510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among LivaNova PLC (f/k/a Sand Holdco Limited), Cyberonics,</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Statement on Form S-4, filed 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 Sorin S.p.A. and Cypher Merger Sub, Inc.</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 2015, as amended</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Articles of Association of LivaNova PLC</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LivaNova PLC Current Report on</w:t>
            </w:r>
          </w:p>
        </w:tc>
        <w:tc>
          <w:tcPr>
            <w:tcW w:w="1360" w:type="dxa"/>
            <w:vAlign w:val="bottom"/>
          </w:tcPr>
          <w:p>
            <w:pPr>
              <w:ind w:left="20"/>
              <w:spacing w:after="0"/>
              <w:rPr>
                <w:sz w:val="20"/>
                <w:szCs w:val="20"/>
                <w:color w:val="auto"/>
              </w:rPr>
            </w:pPr>
            <w:r>
              <w:rPr>
                <w:rFonts w:ascii="Arial" w:cs="Arial" w:eastAsia="Arial" w:hAnsi="Arial"/>
                <w:sz w:val="18"/>
                <w:szCs w:val="18"/>
                <w:color w:val="auto"/>
              </w:rPr>
              <w:t>001-37599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7"/>
              </w:rPr>
              <w:t>Form 8-K, filed on October 19, 2015</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Agreement dated as of September 8, 2015, by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LivaNova PLC Current Report on</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333-203510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between LivaNova PLC and Vivid Sehgal</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 8-K, filed on September 14,</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4860" w:type="dxa"/>
            <w:vAlign w:val="bottom"/>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r>
      <w:tr>
        <w:trPr>
          <w:trHeight w:val="216"/>
        </w:trPr>
        <w:tc>
          <w:tcPr>
            <w:tcW w:w="620" w:type="dxa"/>
            <w:vAlign w:val="bottom"/>
          </w:tcPr>
          <w:p>
            <w:pPr>
              <w:spacing w:after="0"/>
              <w:rPr>
                <w:sz w:val="18"/>
                <w:szCs w:val="18"/>
                <w:color w:val="auto"/>
              </w:rPr>
            </w:pPr>
          </w:p>
        </w:tc>
        <w:tc>
          <w:tcPr>
            <w:tcW w:w="4860" w:type="dxa"/>
            <w:vAlign w:val="bottom"/>
          </w:tcPr>
          <w:p>
            <w:pPr>
              <w:ind w:left="300"/>
              <w:spacing w:after="0"/>
              <w:rPr>
                <w:sz w:val="20"/>
                <w:szCs w:val="20"/>
                <w:color w:val="auto"/>
              </w:rPr>
            </w:pPr>
            <w:r>
              <w:rPr>
                <w:rFonts w:ascii="Arial" w:cs="Arial" w:eastAsia="Arial" w:hAnsi="Arial"/>
                <w:sz w:val="18"/>
                <w:szCs w:val="18"/>
                <w:color w:val="auto"/>
                <w:w w:val="97"/>
              </w:rPr>
              <w:t>among Cyberonics, Inc., Mittel S.p.A., Equinox Two S.c.a.,</w:t>
            </w:r>
          </w:p>
        </w:tc>
      </w:tr>
      <w:tr>
        <w:trPr>
          <w:trHeight w:val="230"/>
        </w:trPr>
        <w:tc>
          <w:tcPr>
            <w:tcW w:w="620" w:type="dxa"/>
            <w:vAlign w:val="bottom"/>
          </w:tcPr>
          <w:p>
            <w:pPr>
              <w:spacing w:after="0"/>
              <w:rPr>
                <w:sz w:val="20"/>
                <w:szCs w:val="20"/>
                <w:color w:val="auto"/>
              </w:rPr>
            </w:pPr>
          </w:p>
        </w:tc>
        <w:tc>
          <w:tcPr>
            <w:tcW w:w="4860" w:type="dxa"/>
            <w:vAlign w:val="bottom"/>
          </w:tcPr>
          <w:p>
            <w:pPr>
              <w:ind w:left="300"/>
              <w:spacing w:after="0"/>
              <w:rPr>
                <w:sz w:val="20"/>
                <w:szCs w:val="20"/>
                <w:color w:val="auto"/>
              </w:rPr>
            </w:pPr>
            <w:r>
              <w:rPr>
                <w:rFonts w:ascii="Arial" w:cs="Arial" w:eastAsia="Arial" w:hAnsi="Arial"/>
                <w:sz w:val="18"/>
                <w:szCs w:val="18"/>
                <w:color w:val="auto"/>
                <w:w w:val="90"/>
              </w:rPr>
              <w:t>Tower 6 S.à.r.l., Ghea S.r.l., Bios S.p.A. and Tower 6Bis S.à.r.l.</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333-203510</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7"/>
              </w:rPr>
              <w:t>Annex 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Statement on Form S-4, filed on</w:t>
            </w:r>
          </w:p>
        </w:tc>
        <w:tc>
          <w:tcPr>
            <w:tcW w:w="144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960" w:space="320"/>
            <w:col w:w="5120"/>
          </w:cols>
          <w:pgMar w:left="240" w:top="364" w:right="2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LivaNova PLC Registration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333-203510</w:t>
            </w:r>
          </w:p>
        </w:tc>
        <w:tc>
          <w:tcPr>
            <w:tcW w:w="11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7"/>
              </w:rPr>
              <w:t>Annex A-</w:t>
            </w:r>
          </w:p>
        </w:tc>
      </w:tr>
      <w:tr>
        <w:trPr>
          <w:trHeight w:val="216"/>
        </w:trPr>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among Cyberonics, Inc. and André-Michel Ballester</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on Form S-4, filed on</w:t>
            </w: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r>
      <w:tr>
        <w:trPr>
          <w:trHeight w:val="230"/>
        </w:trPr>
        <w:tc>
          <w:tcPr>
            <w:tcW w:w="11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2015, as amended</w:t>
            </w:r>
          </w:p>
        </w:tc>
        <w:tc>
          <w:tcPr>
            <w:tcW w:w="1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10.4</w:t>
            </w:r>
          </w:p>
        </w:tc>
        <w:tc>
          <w:tcPr>
            <w:tcW w:w="4520" w:type="dxa"/>
            <w:vAlign w:val="bottom"/>
          </w:tcPr>
          <w:p>
            <w:pPr>
              <w:ind w:left="300"/>
              <w:spacing w:after="0"/>
              <w:rPr>
                <w:sz w:val="20"/>
                <w:szCs w:val="20"/>
                <w:color w:val="auto"/>
              </w:rPr>
            </w:pPr>
            <w:r>
              <w:rPr>
                <w:rFonts w:ascii="Arial" w:cs="Arial" w:eastAsia="Arial" w:hAnsi="Arial"/>
                <w:sz w:val="18"/>
                <w:szCs w:val="18"/>
                <w:color w:val="auto"/>
                <w:w w:val="89"/>
              </w:rPr>
              <w:t>Support Agreement, dated as of February 26, 2015, by and</w:t>
            </w:r>
          </w:p>
        </w:tc>
      </w:tr>
      <w:tr>
        <w:trPr>
          <w:trHeight w:val="230"/>
        </w:trPr>
        <w:tc>
          <w:tcPr>
            <w:tcW w:w="62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among Cyberonics, Inc. and Rosario Bifulco</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333-203510</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7"/>
              </w:rPr>
              <w:t>Annex 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Statement on Form S-4, , filed on</w:t>
            </w:r>
          </w:p>
        </w:tc>
        <w:tc>
          <w:tcPr>
            <w:tcW w:w="138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620" w:space="660"/>
            <w:col w:w="5120"/>
          </w:cols>
          <w:pgMar w:left="240" w:top="364" w:right="2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w:t>
            </w: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Support Agreement, dated as of February 26, 2015, by and</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LivaNova PLC Registration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333-203510</w:t>
            </w:r>
          </w:p>
        </w:tc>
        <w:tc>
          <w:tcPr>
            <w:tcW w:w="11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7"/>
              </w:rPr>
              <w:t>Annex A-</w:t>
            </w:r>
          </w:p>
        </w:tc>
      </w:tr>
      <w:tr>
        <w:trPr>
          <w:trHeight w:val="216"/>
        </w:trPr>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among Sorin S.p.A. and Daniel J. Moore</w:t>
            </w: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on Form S-4, filed on</w:t>
            </w: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r>
      <w:tr>
        <w:trPr>
          <w:trHeight w:val="230"/>
        </w:trPr>
        <w:tc>
          <w:tcPr>
            <w:tcW w:w="11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2015, as amended</w:t>
            </w:r>
          </w:p>
        </w:tc>
        <w:tc>
          <w:tcPr>
            <w:tcW w:w="1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364" w:right="25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10.6</w:t>
            </w:r>
          </w:p>
        </w:tc>
        <w:tc>
          <w:tcPr>
            <w:tcW w:w="4520" w:type="dxa"/>
            <w:vAlign w:val="bottom"/>
          </w:tcPr>
          <w:p>
            <w:pPr>
              <w:ind w:left="300"/>
              <w:spacing w:after="0"/>
              <w:rPr>
                <w:sz w:val="20"/>
                <w:szCs w:val="20"/>
                <w:color w:val="auto"/>
              </w:rPr>
            </w:pPr>
            <w:r>
              <w:rPr>
                <w:rFonts w:ascii="Arial" w:cs="Arial" w:eastAsia="Arial" w:hAnsi="Arial"/>
                <w:sz w:val="18"/>
                <w:szCs w:val="18"/>
                <w:color w:val="auto"/>
                <w:w w:val="89"/>
              </w:rPr>
              <w:t>Support Agreement, dated as of February 26, 2015, by and</w:t>
            </w:r>
          </w:p>
        </w:tc>
      </w:tr>
      <w:tr>
        <w:trPr>
          <w:trHeight w:val="230"/>
        </w:trPr>
        <w:tc>
          <w:tcPr>
            <w:tcW w:w="62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among Sorin S.p.A. and Hugh M. Morrison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2947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LivaNova PLC Registration</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333-203510</w:t>
            </w: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7"/>
              </w:rPr>
              <w:t>Annex 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Statement on Form S-4, filed on</w:t>
            </w:r>
          </w:p>
        </w:tc>
        <w:tc>
          <w:tcPr>
            <w:tcW w:w="144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April 20, 2015, as amended</w:t>
            </w: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2">
            <w:col w:w="5620" w:space="660"/>
            <w:col w:w="5120"/>
          </w:cols>
          <w:pgMar w:left="240" w:top="364" w:right="259" w:bottom="1440" w:gutter="0" w:footer="0" w:header="0"/>
          <w:type w:val="continuous"/>
        </w:sectPr>
      </w:pPr>
    </w:p>
    <w:p>
      <w:pPr>
        <w:ind w:left="44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 PLC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pursuant to Section 302 of the Sarbanes-Oxley Act of 2002</w:t>
      </w:r>
    </w:p>
    <w:p>
      <w:pPr>
        <w:spacing w:after="0" w:line="60"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of LivaNova PLC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pursuant to Section 302 of the Sarbanes-Oxley Act of 2002</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4" w:right="2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w:t>
            </w: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Certification of the Chief Executive Officer and Chief Financial</w:t>
            </w:r>
          </w:p>
        </w:tc>
      </w:tr>
      <w:tr>
        <w:trPr>
          <w:trHeight w:val="216"/>
        </w:trPr>
        <w:tc>
          <w:tcPr>
            <w:tcW w:w="1120" w:type="dxa"/>
            <w:vAlign w:val="bottom"/>
            <w:shd w:val="clear" w:color="auto" w:fill="CCEEFF"/>
          </w:tcPr>
          <w:p>
            <w:pPr>
              <w:spacing w:after="0"/>
              <w:rPr>
                <w:sz w:val="18"/>
                <w:szCs w:val="18"/>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Officer of LivaNova PLC, pursuant to Section 906 of the</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0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Sarbanes-Oxley Act of 2002</w:t>
            </w:r>
          </w:p>
        </w:tc>
      </w:tr>
      <w:tr>
        <w:trPr>
          <w:trHeight w:val="229"/>
        </w:trPr>
        <w:tc>
          <w:tcPr>
            <w:tcW w:w="11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280" w:type="dxa"/>
            <w:vAlign w:val="bottom"/>
          </w:tcPr>
          <w:p>
            <w:pPr>
              <w:ind w:left="300"/>
              <w:spacing w:after="0"/>
              <w:rPr>
                <w:sz w:val="20"/>
                <w:szCs w:val="20"/>
                <w:color w:val="auto"/>
              </w:rPr>
            </w:pPr>
            <w:r>
              <w:rPr>
                <w:rFonts w:ascii="Arial" w:cs="Arial" w:eastAsia="Arial" w:hAnsi="Arial"/>
                <w:sz w:val="18"/>
                <w:szCs w:val="18"/>
                <w:color w:val="auto"/>
              </w:rPr>
              <w:t>Interactive Data Files for LivaNova PLC, pursuant to Rule 405 of</w:t>
            </w:r>
          </w:p>
        </w:tc>
      </w:tr>
      <w:tr>
        <w:trPr>
          <w:trHeight w:val="216"/>
        </w:trPr>
        <w:tc>
          <w:tcPr>
            <w:tcW w:w="112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Regulation S-T: (i) the Condensed Consolidated Statement of</w:t>
            </w:r>
          </w:p>
        </w:tc>
      </w:tr>
      <w:tr>
        <w:trPr>
          <w:trHeight w:val="216"/>
        </w:trPr>
        <w:tc>
          <w:tcPr>
            <w:tcW w:w="112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Income for the periods presented, (ii) the Condensed</w:t>
            </w:r>
          </w:p>
        </w:tc>
      </w:tr>
      <w:tr>
        <w:trPr>
          <w:trHeight w:val="230"/>
        </w:trPr>
        <w:tc>
          <w:tcPr>
            <w:tcW w:w="112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Consolidated Statement of Comprehensive Income for the</w:t>
            </w:r>
          </w:p>
        </w:tc>
      </w:tr>
    </w:tbl>
    <w:p>
      <w:pPr>
        <w:ind w:left="1420"/>
        <w:spacing w:after="0"/>
        <w:rPr>
          <w:sz w:val="20"/>
          <w:szCs w:val="20"/>
          <w:color w:val="auto"/>
        </w:rPr>
      </w:pPr>
      <w:r>
        <w:rPr>
          <w:rFonts w:ascii="Arial" w:cs="Arial" w:eastAsia="Arial" w:hAnsi="Arial"/>
          <w:sz w:val="18"/>
          <w:szCs w:val="18"/>
          <w:color w:val="auto"/>
        </w:rPr>
        <w:t>periods presented, (iii) the Condensed Consolidated Balance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Sheet for the period ended September 30, 2015, (iv) the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Condensed Consolidated Statement of Cash Flows for the periods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presented and (v) the Notes to the Condensed Consolidated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18"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André-Michel Ballester, certify that:</w:t>
      </w:r>
    </w:p>
    <w:p>
      <w:pPr>
        <w:spacing w:after="0" w:line="117" w:lineRule="exact"/>
        <w:rPr>
          <w:sz w:val="20"/>
          <w:szCs w:val="20"/>
          <w:color w:val="auto"/>
        </w:rPr>
      </w:pPr>
    </w:p>
    <w:p>
      <w:pPr>
        <w:ind w:left="720" w:hanging="226"/>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LivaNova PLC;</w:t>
      </w:r>
    </w:p>
    <w:p>
      <w:pPr>
        <w:spacing w:after="0" w:line="117" w:lineRule="exact"/>
        <w:rPr>
          <w:rFonts w:ascii="Arial" w:cs="Arial" w:eastAsia="Arial" w:hAnsi="Arial"/>
          <w:sz w:val="18"/>
          <w:szCs w:val="18"/>
          <w:color w:val="auto"/>
        </w:rPr>
      </w:pPr>
    </w:p>
    <w:p>
      <w:pPr>
        <w:ind w:right="220" w:firstLine="494"/>
        <w:spacing w:after="0" w:line="342" w:lineRule="auto"/>
        <w:tabs>
          <w:tab w:leader="none" w:pos="711"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94"/>
        <w:spacing w:after="0" w:line="277" w:lineRule="auto"/>
        <w:tabs>
          <w:tab w:leader="none" w:pos="711"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494"/>
        <w:spacing w:after="0" w:line="264"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40" w:firstLine="8"/>
        <w:spacing w:after="0" w:line="264" w:lineRule="auto"/>
        <w:tabs>
          <w:tab w:leader="none" w:pos="83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40" w:right="360" w:firstLine="8"/>
        <w:spacing w:after="0" w:line="264" w:lineRule="auto"/>
        <w:tabs>
          <w:tab w:leader="none" w:pos="84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40" w:right="880" w:firstLine="8"/>
        <w:spacing w:after="0" w:line="342" w:lineRule="auto"/>
        <w:tabs>
          <w:tab w:leader="none" w:pos="830"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40" w:right="360" w:firstLine="8"/>
        <w:spacing w:after="0" w:line="264" w:lineRule="auto"/>
        <w:tabs>
          <w:tab w:leader="none" w:pos="84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180" w:right="200" w:firstLine="301"/>
        <w:spacing w:after="0" w:line="308" w:lineRule="auto"/>
        <w:tabs>
          <w:tab w:leader="none" w:pos="69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00" w:right="340" w:hanging="6"/>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280" w:hanging="6"/>
        <w:spacing w:after="0" w:line="277" w:lineRule="auto"/>
        <w:tabs>
          <w:tab w:leader="none" w:pos="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6, 2015</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left="720" w:hanging="22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LivaNova PLC;</w:t>
      </w:r>
    </w:p>
    <w:p>
      <w:pPr>
        <w:spacing w:after="0" w:line="117" w:lineRule="exact"/>
        <w:rPr>
          <w:rFonts w:ascii="Arial" w:cs="Arial" w:eastAsia="Arial" w:hAnsi="Arial"/>
          <w:sz w:val="18"/>
          <w:szCs w:val="18"/>
          <w:color w:val="auto"/>
        </w:rPr>
      </w:pPr>
    </w:p>
    <w:p>
      <w:pPr>
        <w:ind w:right="220" w:firstLine="494"/>
        <w:spacing w:after="0" w:line="342" w:lineRule="auto"/>
        <w:tabs>
          <w:tab w:leader="none" w:pos="711"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94"/>
        <w:spacing w:after="0" w:line="277" w:lineRule="auto"/>
        <w:tabs>
          <w:tab w:leader="none" w:pos="7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494"/>
        <w:spacing w:after="0" w:line="264" w:lineRule="auto"/>
        <w:tabs>
          <w:tab w:leader="none" w:pos="7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40" w:firstLine="8"/>
        <w:spacing w:after="0" w:line="264" w:lineRule="auto"/>
        <w:tabs>
          <w:tab w:leader="none" w:pos="8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40" w:right="360" w:firstLine="8"/>
        <w:spacing w:after="0" w:line="264" w:lineRule="auto"/>
        <w:tabs>
          <w:tab w:leader="none" w:pos="8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40" w:right="880" w:firstLine="8"/>
        <w:spacing w:after="0" w:line="342" w:lineRule="auto"/>
        <w:tabs>
          <w:tab w:leader="none" w:pos="830" w:val="left"/>
        </w:tabs>
        <w:numPr>
          <w:ilvl w:val="2"/>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40" w:right="360" w:firstLine="8"/>
        <w:spacing w:after="0" w:line="264" w:lineRule="auto"/>
        <w:tabs>
          <w:tab w:leader="none" w:pos="8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180" w:right="200" w:firstLine="301"/>
        <w:spacing w:after="0" w:line="308" w:lineRule="auto"/>
        <w:tabs>
          <w:tab w:leader="none" w:pos="69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00" w:right="340" w:hanging="6"/>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280" w:hanging="6"/>
        <w:spacing w:after="0" w:line="277"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6, 2015</w:t>
      </w:r>
    </w:p>
    <w:p>
      <w:pPr>
        <w:spacing w:after="0" w:line="23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6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André-Michel Ballester, Chief Executive Officer of LivaNova PLC (the “Company”), and Vivid Sehgal, Chief Financial Officer of the Company,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pursuant to 18 U.S.C. Section 1350, as adopted pursuant to Section 906 of the Sarbanes-Oxley Act of 2002, that:</w:t>
      </w:r>
    </w:p>
    <w:p>
      <w:pPr>
        <w:spacing w:after="0" w:line="211" w:lineRule="exact"/>
        <w:rPr>
          <w:sz w:val="20"/>
          <w:szCs w:val="20"/>
          <w:color w:val="auto"/>
        </w:rPr>
      </w:pPr>
    </w:p>
    <w:p>
      <w:pPr>
        <w:ind w:right="200" w:firstLine="548"/>
        <w:spacing w:after="0" w:line="342" w:lineRule="auto"/>
        <w:tabs>
          <w:tab w:leader="none" w:pos="83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2015 as filed with the Securities and Exchange Commission on the date hereof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540" w:right="180" w:firstLine="8"/>
        <w:spacing w:after="0" w:line="508"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6, 2015</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216231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66EF438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2019-12-29T14:53:39Z</dcterms:created>
  <dcterms:modified xsi:type="dcterms:W3CDTF">2019-12-29T14:53:39Z</dcterms:modified>
</cp:coreProperties>
</file>