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117590"/>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Makatsaria Vladimir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0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180" w:space="720"/>
            <w:col w:w="3111" w:space="720"/>
            <w:col w:w="3349"/>
          </w:cols>
          <w:pgMar w:left="460" w:top="215" w:right="359" w:bottom="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96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6"/>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6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W2 6LA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00" w:type="dxa"/>
            <w:vAlign w:val="bottom"/>
            <w:tcBorders>
              <w:top w:val="single" w:sz="8" w:color="EEEEEE"/>
            </w:tcBorders>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2"/>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03/30/2026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21,042</w:t>
            </w:r>
            <w:r>
              <w:rPr>
                <w:rFonts w:ascii="Times New Roman" w:cs="Times New Roman" w:eastAsia="Times New Roman" w:hAnsi="Times New Roman"/>
                <w:sz w:val="20"/>
                <w:szCs w:val="20"/>
                <w:color w:val="008000"/>
                <w:vertAlign w:val="superscript"/>
              </w:rPr>
              <w:t>(1)</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6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25,326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03/30/2026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2"/>
              <w:spacing w:after="0"/>
              <w:rPr>
                <w:sz w:val="20"/>
                <w:szCs w:val="20"/>
                <w:color w:val="auto"/>
              </w:rPr>
            </w:pPr>
            <w:r>
              <w:rPr>
                <w:rFonts w:ascii="Times New Roman" w:cs="Times New Roman" w:eastAsia="Times New Roman" w:hAnsi="Times New Roman"/>
                <w:sz w:val="16"/>
                <w:szCs w:val="16"/>
                <w:color w:val="0000FF"/>
              </w:rPr>
              <w:t>11,159</w:t>
            </w:r>
            <w:r>
              <w:rPr>
                <w:rFonts w:ascii="Times New Roman" w:cs="Times New Roman" w:eastAsia="Times New Roman" w:hAnsi="Times New Roman"/>
                <w:sz w:val="20"/>
                <w:szCs w:val="20"/>
                <w:color w:val="008000"/>
                <w:vertAlign w:val="superscript"/>
              </w:rPr>
              <w:t>(2)</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61.27</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14,167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3,352</w:t>
            </w:r>
          </w:p>
        </w:tc>
        <w:tc>
          <w:tcPr>
            <w:tcW w:w="780" w:type="dxa"/>
            <w:vAlign w:val="bottom"/>
            <w:vMerge w:val="restart"/>
          </w:tcPr>
          <w:p>
            <w:pPr>
              <w:jc w:val="center"/>
              <w:ind w:left="4"/>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3,352</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5"/>
              </w:rPr>
              <w:t>6,703</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5,977</w:t>
            </w:r>
          </w:p>
        </w:tc>
        <w:tc>
          <w:tcPr>
            <w:tcW w:w="780" w:type="dxa"/>
            <w:vAlign w:val="bottom"/>
            <w:vMerge w:val="restart"/>
          </w:tcPr>
          <w:p>
            <w:pPr>
              <w:jc w:val="center"/>
              <w:ind w:left="4"/>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5,977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11,954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11,713</w:t>
            </w: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11,713</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23,426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52,227</w:t>
            </w:r>
          </w:p>
        </w:tc>
        <w:tc>
          <w:tcPr>
            <w:tcW w:w="440" w:type="dxa"/>
            <w:vAlign w:val="bottom"/>
          </w:tcPr>
          <w:p>
            <w:pPr>
              <w:spacing w:after="0"/>
              <w:rPr>
                <w:sz w:val="19"/>
                <w:szCs w:val="19"/>
                <w:color w:val="auto"/>
              </w:rPr>
            </w:pP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52,227</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52,227</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0"/>
                <w:szCs w:val="10"/>
                <w:color w:val="008000"/>
              </w:rPr>
              <w:t>(7)</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17,409</w:t>
            </w:r>
          </w:p>
        </w:tc>
        <w:tc>
          <w:tcPr>
            <w:tcW w:w="440" w:type="dxa"/>
            <w:vAlign w:val="bottom"/>
          </w:tcPr>
          <w:p>
            <w:pPr>
              <w:spacing w:after="0"/>
              <w:rPr>
                <w:sz w:val="19"/>
                <w:szCs w:val="19"/>
                <w:color w:val="auto"/>
              </w:rPr>
            </w:pP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0"/>
                <w:szCs w:val="10"/>
                <w:color w:val="008000"/>
              </w:rPr>
              <w:t>(8)</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17,409</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17,409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0"/>
                <w:szCs w:val="10"/>
                <w:color w:val="008000"/>
              </w:rPr>
              <w:t>(7)</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17,409</w:t>
            </w:r>
          </w:p>
        </w:tc>
        <w:tc>
          <w:tcPr>
            <w:tcW w:w="440" w:type="dxa"/>
            <w:vAlign w:val="bottom"/>
          </w:tcPr>
          <w:p>
            <w:pPr>
              <w:spacing w:after="0"/>
              <w:rPr>
                <w:sz w:val="19"/>
                <w:szCs w:val="19"/>
                <w:color w:val="auto"/>
              </w:rPr>
            </w:pP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0"/>
                <w:szCs w:val="10"/>
                <w:color w:val="008000"/>
              </w:rPr>
              <w:t>(9)</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17,409</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17,409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0"/>
                <w:szCs w:val="10"/>
                <w:color w:val="008000"/>
              </w:rPr>
              <w:t>(7)</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17,409</w:t>
            </w:r>
          </w:p>
        </w:tc>
        <w:tc>
          <w:tcPr>
            <w:tcW w:w="440" w:type="dxa"/>
            <w:vAlign w:val="bottom"/>
          </w:tcPr>
          <w:p>
            <w:pPr>
              <w:spacing w:after="0"/>
              <w:rPr>
                <w:sz w:val="19"/>
                <w:szCs w:val="19"/>
                <w:color w:val="auto"/>
              </w:rPr>
            </w:pPr>
          </w:p>
        </w:tc>
        <w:tc>
          <w:tcPr>
            <w:tcW w:w="780" w:type="dxa"/>
            <w:vAlign w:val="bottom"/>
          </w:tcPr>
          <w:p>
            <w:pPr>
              <w:jc w:val="center"/>
              <w:ind w:left="4"/>
              <w:spacing w:after="0"/>
              <w:rPr>
                <w:sz w:val="20"/>
                <w:szCs w:val="20"/>
                <w:color w:val="auto"/>
              </w:rPr>
            </w:pPr>
            <w:r>
              <w:rPr>
                <w:rFonts w:ascii="Times New Roman" w:cs="Times New Roman" w:eastAsia="Times New Roman" w:hAnsi="Times New Roman"/>
                <w:sz w:val="10"/>
                <w:szCs w:val="10"/>
                <w:color w:val="008000"/>
                <w:w w:val="95"/>
              </w:rPr>
              <w:t>(10)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17,409</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17,409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-3249930</wp:posOffset>
            </wp:positionV>
            <wp:extent cx="28575" cy="3255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255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39"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applicable Company incentive award plan identified in the footnote for such grant and the award agreement.</w:t>
      </w:r>
    </w:p>
    <w:p>
      <w:pPr>
        <w:spacing w:after="0" w:line="22"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Company's 2022 Incentive Award Plan (the 2022 Plan) and the award agreement.</w:t>
      </w:r>
    </w:p>
    <w:p>
      <w:pPr>
        <w:spacing w:after="0" w:line="22" w:lineRule="exact"/>
        <w:rPr>
          <w:rFonts w:ascii="Times New Roman" w:cs="Times New Roman" w:eastAsia="Times New Roman" w:hAnsi="Times New Roman"/>
          <w:sz w:val="13"/>
          <w:szCs w:val="13"/>
          <w:color w:val="008000"/>
        </w:rPr>
      </w:pPr>
    </w:p>
    <w:p>
      <w:pPr>
        <w:ind w:left="40" w:right="2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having occurred on March 30, 2026. The RSUs are subject to forfeiture prior to vesting in accordance with the terms of the First Amended and Restated LivaNova PLC 2022 Incentive Award Plan (the First A&amp;R 2022 Plan) and the award agreement.</w:t>
      </w:r>
    </w:p>
    <w:p>
      <w:pPr>
        <w:spacing w:after="0" w:line="22" w:lineRule="exact"/>
        <w:rPr>
          <w:rFonts w:ascii="Times New Roman" w:cs="Times New Roman" w:eastAsia="Times New Roman" w:hAnsi="Times New Roman"/>
          <w:sz w:val="13"/>
          <w:szCs w:val="13"/>
          <w:color w:val="008000"/>
        </w:rPr>
      </w:pPr>
    </w:p>
    <w:p>
      <w:pPr>
        <w:ind w:left="40" w:right="1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RSUs subject to a three-year vesting in equal annual installments, the first vesting occurring on March 30, 2027. The RSUs are subject to forfeiture prior to vesting in accordance with the terms of the Second Amended and Restated LivaNova PLC 2022 Incentive Award Plan (the Second A&amp;R 2022 Plan) and the award agreement.</w:t>
      </w:r>
    </w:p>
    <w:p>
      <w:pPr>
        <w:spacing w:after="0" w:line="22" w:lineRule="exact"/>
        <w:rPr>
          <w:rFonts w:ascii="Times New Roman" w:cs="Times New Roman" w:eastAsia="Times New Roman" w:hAnsi="Times New Roman"/>
          <w:sz w:val="13"/>
          <w:szCs w:val="13"/>
          <w:color w:val="008000"/>
        </w:rPr>
      </w:pPr>
    </w:p>
    <w:p>
      <w:pPr>
        <w:ind w:left="40" w:right="5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applicable Company incentive award plan identified in the footnote for such grant and the award agreement.</w:t>
      </w:r>
    </w:p>
    <w:p>
      <w:pPr>
        <w:spacing w:after="0" w:line="22" w:lineRule="exact"/>
        <w:rPr>
          <w:rFonts w:ascii="Times New Roman" w:cs="Times New Roman" w:eastAsia="Times New Roman" w:hAnsi="Times New Roman"/>
          <w:sz w:val="13"/>
          <w:szCs w:val="13"/>
          <w:color w:val="008000"/>
        </w:rPr>
      </w:pPr>
    </w:p>
    <w:p>
      <w:pPr>
        <w:ind w:left="40" w:right="22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revenue growth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pacing w:after="0" w:line="24" w:lineRule="exact"/>
        <w:rPr>
          <w:rFonts w:ascii="Times New Roman" w:cs="Times New Roman" w:eastAsia="Times New Roman" w:hAnsi="Times New Roman"/>
          <w:sz w:val="13"/>
          <w:szCs w:val="13"/>
          <w:color w:val="008000"/>
        </w:rPr>
      </w:pPr>
    </w:p>
    <w:p>
      <w:pPr>
        <w:ind w:left="40" w:right="22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the Company's relative total shareholder return (rTSR) for the three-year period beginning on January 1, 2026 and ending December 31, 2028 relative to the total shareholder return of an index of companies, as determined by the Second A&amp;R 2022 Plan Administrator. The number included in column 5 of Table II reflects the target number of PSUs eligible for vesting subject to continued service during the vesting period and the award agreement.</w:t>
      </w:r>
    </w:p>
    <w:p>
      <w:pPr>
        <w:spacing w:after="0" w:line="24" w:lineRule="exact"/>
        <w:rPr>
          <w:rFonts w:ascii="Times New Roman" w:cs="Times New Roman" w:eastAsia="Times New Roman" w:hAnsi="Times New Roman"/>
          <w:sz w:val="13"/>
          <w:szCs w:val="13"/>
          <w:color w:val="008000"/>
        </w:rPr>
      </w:pPr>
    </w:p>
    <w:p>
      <w:pPr>
        <w:ind w:left="40" w:right="320" w:hanging="2"/>
        <w:spacing w:after="0" w:line="23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adjusted earnings per share (EPS)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ectPr>
          <w:pgSz w:w="11900" w:h="16838" w:orient="portrait"/>
          <w:cols w:equalWidth="0" w:num="1">
            <w:col w:w="11080"/>
          </w:cols>
          <w:pgMar w:left="460" w:top="215" w:right="359" w:bottom="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6562"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Sarah K. Mohr, Attorney-in-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04/01/2026</w:t>
            </w:r>
          </w:p>
        </w:tc>
      </w:tr>
      <w:tr>
        <w:trPr>
          <w:trHeight w:val="181"/>
        </w:trPr>
        <w:tc>
          <w:tcPr>
            <w:tcW w:w="280" w:type="dxa"/>
            <w:vAlign w:val="bottom"/>
            <w:tcBorders>
              <w:top w:val="single" w:sz="8" w:color="auto"/>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2645"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2026-04-01T16:43:27Z</dcterms:created>
  <dcterms:modified xsi:type="dcterms:W3CDTF">2026-04-01T16:43:27Z</dcterms:modified>
</cp:coreProperties>
</file>