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079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Sheridan Brian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 MERCHANT SQUARE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NORTH WHARF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02/26/2016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63"/>
        <w:spacing w:after="0"/>
        <w:rPr>
          <w:sz w:val="20"/>
          <w:szCs w:val="20"/>
          <w:color w:val="auto"/>
        </w:rPr>
      </w:pPr>
      <w:r>
        <w:rPr>
          <w:rFonts w:ascii="Arial" w:cs="Arial" w:eastAsia="Arial" w:hAnsi="Arial"/>
          <w:sz w:val="16"/>
          <w:szCs w:val="16"/>
          <w:color w:val="0000FF"/>
        </w:rPr>
        <w:t>SR VP Genl Counsel &amp; Secretary</w:t>
      </w:r>
    </w:p>
    <w:p>
      <w:pPr>
        <w:spacing w:after="0" w:line="429"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0" w:type="dxa"/>
            <w:vAlign w:val="bottom"/>
            <w:gridSpan w:val="8"/>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800" w:type="dxa"/>
            <w:vAlign w:val="bottom"/>
            <w:gridSpan w:val="11"/>
          </w:tcPr>
          <w:p>
            <w:pPr>
              <w:ind w:left="3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gridSpan w:val="3"/>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10"/>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LONDON</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0"/>
              </w:rPr>
              <w:t>X0</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W2 1AY</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60" w:type="dxa"/>
            <w:vAlign w:val="bottom"/>
            <w:gridSpan w:val="8"/>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40" w:type="dxa"/>
            <w:vAlign w:val="bottom"/>
            <w:tcBorders>
              <w:bottom w:val="single" w:sz="8" w:color="2C2C2C"/>
            </w:tcBorders>
            <w:gridSpan w:val="5"/>
          </w:tcPr>
          <w:p>
            <w:pPr>
              <w:spacing w:after="0"/>
              <w:rPr>
                <w:sz w:val="11"/>
                <w:szCs w:val="11"/>
                <w:color w:val="auto"/>
              </w:rPr>
            </w:pPr>
          </w:p>
        </w:tc>
        <w:tc>
          <w:tcPr>
            <w:tcW w:w="80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5"/>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0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ind w:left="880"/>
              <w:spacing w:after="0"/>
              <w:rPr>
                <w:sz w:val="20"/>
                <w:szCs w:val="20"/>
                <w:color w:val="auto"/>
              </w:rPr>
            </w:pPr>
            <w:r>
              <w:rPr>
                <w:rFonts w:ascii="Arial" w:cs="Arial" w:eastAsia="Arial" w:hAnsi="Arial"/>
                <w:sz w:val="18"/>
                <w:szCs w:val="18"/>
                <w:color w:val="0000FF"/>
              </w:rPr>
              <w:t>02/26/2016</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17"/>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23"/>
                <w:szCs w:val="23"/>
                <w:color w:val="auto"/>
              </w:rPr>
            </w:pPr>
          </w:p>
        </w:tc>
        <w:tc>
          <w:tcPr>
            <w:tcW w:w="560" w:type="dxa"/>
            <w:vAlign w:val="bottom"/>
          </w:tcPr>
          <w:p>
            <w:pPr>
              <w:ind w:left="160"/>
              <w:spacing w:after="0"/>
              <w:rPr>
                <w:sz w:val="20"/>
                <w:szCs w:val="20"/>
                <w:color w:val="auto"/>
              </w:rPr>
            </w:pPr>
            <w:r>
              <w:rPr>
                <w:rFonts w:ascii="Arial" w:cs="Arial" w:eastAsia="Arial" w:hAnsi="Arial"/>
                <w:sz w:val="18"/>
                <w:szCs w:val="18"/>
                <w:color w:val="0000FF"/>
                <w:w w:val="84"/>
              </w:rPr>
              <w:t>2,069</w:t>
            </w:r>
          </w:p>
        </w:tc>
        <w:tc>
          <w:tcPr>
            <w:tcW w:w="660" w:type="dxa"/>
            <w:vAlign w:val="bottom"/>
          </w:tcPr>
          <w:p>
            <w:pPr>
              <w:ind w:left="400"/>
              <w:spacing w:after="0"/>
              <w:rPr>
                <w:sz w:val="20"/>
                <w:szCs w:val="20"/>
                <w:color w:val="auto"/>
              </w:rPr>
            </w:pPr>
            <w:r>
              <w:rPr>
                <w:rFonts w:ascii="Arial" w:cs="Arial" w:eastAsia="Arial" w:hAnsi="Arial"/>
                <w:sz w:val="18"/>
                <w:szCs w:val="18"/>
                <w:color w:val="0000FF"/>
              </w:rPr>
              <w:t>A</w:t>
            </w:r>
          </w:p>
        </w:tc>
        <w:tc>
          <w:tcPr>
            <w:tcW w:w="540" w:type="dxa"/>
            <w:vAlign w:val="bottom"/>
          </w:tcPr>
          <w:p>
            <w:pPr>
              <w:jc w:val="right"/>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2"/>
          </w:tcPr>
          <w:p>
            <w:pPr>
              <w:ind w:left="360"/>
              <w:spacing w:after="0"/>
              <w:rPr>
                <w:sz w:val="20"/>
                <w:szCs w:val="20"/>
                <w:color w:val="auto"/>
              </w:rPr>
            </w:pPr>
            <w:r>
              <w:rPr>
                <w:rFonts w:ascii="Arial" w:cs="Arial" w:eastAsia="Arial" w:hAnsi="Arial"/>
                <w:sz w:val="18"/>
                <w:szCs w:val="18"/>
                <w:color w:val="0000FF"/>
              </w:rPr>
              <w:t>14,043</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02/26/2016</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17"/>
              <w:spacing w:after="0"/>
              <w:rPr>
                <w:sz w:val="20"/>
                <w:szCs w:val="20"/>
                <w:color w:val="auto"/>
              </w:rPr>
            </w:pPr>
            <w:r>
              <w:rPr>
                <w:rFonts w:ascii="Arial" w:cs="Arial" w:eastAsia="Arial" w:hAnsi="Arial"/>
                <w:sz w:val="14"/>
                <w:szCs w:val="14"/>
                <w:color w:val="0000FF"/>
                <w:w w:val="92"/>
              </w:rPr>
              <w:t>F</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79"/>
              </w:rPr>
              <w:t>992</w:t>
            </w:r>
            <w:r>
              <w:rPr>
                <w:rFonts w:ascii="Arial" w:cs="Arial" w:eastAsia="Arial" w:hAnsi="Arial"/>
                <w:sz w:val="22"/>
                <w:szCs w:val="22"/>
                <w:color w:val="008000"/>
                <w:w w:val="79"/>
                <w:vertAlign w:val="superscript"/>
              </w:rPr>
              <w:t>(3)</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ind w:left="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57.09</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13,051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60" w:type="dxa"/>
            <w:vAlign w:val="bottom"/>
            <w:gridSpan w:val="12"/>
          </w:tcPr>
          <w:p>
            <w:pPr>
              <w:ind w:left="7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tcPr>
          <w:p>
            <w:pPr>
              <w:ind w:left="36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21"/>
                <w:szCs w:val="21"/>
                <w:color w:val="auto"/>
              </w:rPr>
            </w:pPr>
          </w:p>
        </w:tc>
        <w:tc>
          <w:tcPr>
            <w:tcW w:w="1020" w:type="dxa"/>
            <w:vAlign w:val="bottom"/>
          </w:tcPr>
          <w:p>
            <w:pPr>
              <w:ind w:left="200"/>
              <w:spacing w:after="0"/>
              <w:rPr>
                <w:sz w:val="20"/>
                <w:szCs w:val="20"/>
                <w:color w:val="auto"/>
              </w:rPr>
            </w:pPr>
            <w:r>
              <w:rPr>
                <w:rFonts w:ascii="Arial" w:cs="Arial" w:eastAsia="Arial" w:hAnsi="Arial"/>
                <w:sz w:val="14"/>
                <w:szCs w:val="14"/>
                <w:color w:val="0000FF"/>
              </w:rPr>
              <w:t>02/26/2016</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ind w:left="80"/>
              <w:spacing w:after="0"/>
              <w:rPr>
                <w:sz w:val="20"/>
                <w:szCs w:val="20"/>
                <w:color w:val="auto"/>
              </w:rPr>
            </w:pPr>
            <w:r>
              <w:rPr>
                <w:rFonts w:ascii="Arial" w:cs="Arial" w:eastAsia="Arial" w:hAnsi="Arial"/>
                <w:sz w:val="14"/>
                <w:szCs w:val="14"/>
                <w:color w:val="0000FF"/>
              </w:rPr>
              <w:t>M</w:t>
            </w:r>
          </w:p>
        </w:tc>
        <w:tc>
          <w:tcPr>
            <w:tcW w:w="160" w:type="dxa"/>
            <w:vAlign w:val="bottom"/>
          </w:tcPr>
          <w:p>
            <w:pPr>
              <w:spacing w:after="0"/>
              <w:rPr>
                <w:sz w:val="21"/>
                <w:szCs w:val="21"/>
                <w:color w:val="auto"/>
              </w:rPr>
            </w:pPr>
          </w:p>
        </w:tc>
        <w:tc>
          <w:tcPr>
            <w:tcW w:w="820" w:type="dxa"/>
            <w:vAlign w:val="bottom"/>
          </w:tcPr>
          <w:p>
            <w:pPr>
              <w:ind w:left="400"/>
              <w:spacing w:after="0"/>
              <w:rPr>
                <w:sz w:val="20"/>
                <w:szCs w:val="20"/>
                <w:color w:val="auto"/>
              </w:rPr>
            </w:pPr>
            <w:r>
              <w:rPr>
                <w:rFonts w:ascii="Arial" w:cs="Arial" w:eastAsia="Arial" w:hAnsi="Arial"/>
                <w:sz w:val="14"/>
                <w:szCs w:val="14"/>
                <w:color w:val="0000FF"/>
              </w:rPr>
              <w:t>2,069</w:t>
            </w:r>
          </w:p>
        </w:tc>
        <w:tc>
          <w:tcPr>
            <w:tcW w:w="800" w:type="dxa"/>
            <w:vAlign w:val="bottom"/>
            <w:gridSpan w:val="2"/>
          </w:tcPr>
          <w:p>
            <w:pPr>
              <w:jc w:val="center"/>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21"/>
                <w:szCs w:val="21"/>
                <w:color w:val="auto"/>
              </w:rPr>
            </w:pPr>
          </w:p>
        </w:tc>
        <w:tc>
          <w:tcPr>
            <w:tcW w:w="560" w:type="dxa"/>
            <w:vAlign w:val="bottom"/>
          </w:tcPr>
          <w:p>
            <w:pPr>
              <w:ind w:left="60"/>
              <w:spacing w:after="0"/>
              <w:rPr>
                <w:sz w:val="20"/>
                <w:szCs w:val="20"/>
                <w:color w:val="auto"/>
              </w:rPr>
            </w:pPr>
            <w:r>
              <w:rPr>
                <w:rFonts w:ascii="Arial" w:cs="Arial" w:eastAsia="Arial" w:hAnsi="Arial"/>
                <w:sz w:val="11"/>
                <w:szCs w:val="11"/>
                <w:color w:val="008000"/>
              </w:rPr>
              <w:t>(2)</w:t>
            </w:r>
          </w:p>
        </w:tc>
        <w:tc>
          <w:tcPr>
            <w:tcW w:w="660" w:type="dxa"/>
            <w:vAlign w:val="bottom"/>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tcPr>
          <w:p>
            <w:pPr>
              <w:jc w:val="right"/>
              <w:ind w:right="33"/>
              <w:spacing w:after="0"/>
              <w:rPr>
                <w:sz w:val="20"/>
                <w:szCs w:val="20"/>
                <w:color w:val="auto"/>
              </w:rPr>
            </w:pPr>
            <w:r>
              <w:rPr>
                <w:rFonts w:ascii="Arial" w:cs="Arial" w:eastAsia="Arial" w:hAnsi="Arial"/>
                <w:sz w:val="18"/>
                <w:szCs w:val="18"/>
                <w:color w:val="0000FF"/>
                <w:w w:val="93"/>
              </w:rPr>
              <w:t>2,069</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ind w:left="100"/>
              <w:spacing w:after="0"/>
              <w:rPr>
                <w:sz w:val="20"/>
                <w:szCs w:val="20"/>
                <w:color w:val="auto"/>
              </w:rPr>
            </w:pPr>
            <w:r>
              <w:rPr>
                <w:rFonts w:ascii="Arial" w:cs="Arial" w:eastAsia="Arial" w:hAnsi="Arial"/>
                <w:sz w:val="11"/>
                <w:szCs w:val="11"/>
                <w:color w:val="008000"/>
              </w:rPr>
              <w:t>(1)</w:t>
            </w:r>
          </w:p>
        </w:tc>
        <w:tc>
          <w:tcPr>
            <w:tcW w:w="620" w:type="dxa"/>
            <w:vAlign w:val="bottom"/>
          </w:tcPr>
          <w:p>
            <w:pPr>
              <w:ind w:left="380"/>
              <w:spacing w:after="0"/>
              <w:rPr>
                <w:sz w:val="20"/>
                <w:szCs w:val="20"/>
                <w:color w:val="auto"/>
              </w:rPr>
            </w:pPr>
            <w:r>
              <w:rPr>
                <w:rFonts w:ascii="Arial" w:cs="Arial" w:eastAsia="Arial" w:hAnsi="Arial"/>
                <w:sz w:val="14"/>
                <w:szCs w:val="14"/>
                <w:color w:val="0000FF"/>
              </w:rPr>
              <w:t>0</w:t>
            </w:r>
          </w:p>
        </w:tc>
        <w:tc>
          <w:tcPr>
            <w:tcW w:w="280" w:type="dxa"/>
            <w:vAlign w:val="bottom"/>
          </w:tcPr>
          <w:p>
            <w:pPr>
              <w:spacing w:after="0"/>
              <w:rPr>
                <w:sz w:val="21"/>
                <w:szCs w:val="21"/>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w w:val="96"/>
              </w:rPr>
              <w:t>stock units</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Reporting person had vested restricted stock units ("RSUs") settled in ordinary shares of LivaNova PLC (the "Company"), ?1.00 par value.</w:t>
      </w:r>
    </w:p>
    <w:p>
      <w:pPr>
        <w:spacing w:after="0" w:line="41" w:lineRule="exact"/>
        <w:rPr>
          <w:rFonts w:ascii="Arial" w:cs="Arial" w:eastAsia="Arial" w:hAnsi="Arial"/>
          <w:sz w:val="14"/>
          <w:szCs w:val="14"/>
          <w:color w:val="008000"/>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October 19, 2015, reporting person was granted 2,069 RSUs to be issued under the Sorin LTI Award pursuant to the Sorin Plans (as defined below). Each RSU represents a contingent right to receive one ordinary share of the Company. All of such RSUs vested and all restrictions thereon lapsed on February 26, 2016.</w:t>
      </w:r>
    </w:p>
    <w:p>
      <w:pPr>
        <w:spacing w:after="0" w:line="30" w:lineRule="exact"/>
        <w:rPr>
          <w:rFonts w:ascii="Arial" w:cs="Arial" w:eastAsia="Arial" w:hAnsi="Arial"/>
          <w:sz w:val="14"/>
          <w:szCs w:val="14"/>
          <w:color w:val="008000"/>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 number of ordinary shares otherwise issuable to Reporting Person have been withheld in order to satisfy the tax withholding obligations of LivaNova and its subsidiaries pursuant to the vesting of existing Sorin equity award plans (the "Sorin Plans").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Taylor Pollock, as POA</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03/01/2016</w:t>
            </w:r>
          </w:p>
        </w:tc>
      </w:tr>
      <w:tr>
        <w:trPr>
          <w:trHeight w:val="20"/>
        </w:trPr>
        <w:tc>
          <w:tcPr>
            <w:tcW w:w="1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56030"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2019-12-09T01:41:32Z</dcterms:created>
  <dcterms:modified xsi:type="dcterms:W3CDTF">2019-12-09T01:41:32Z</dcterms:modified>
</cp:coreProperties>
</file>