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42"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April 14, 2023, LivaNova PLC (the “Company”) issued a press release announcing, among other items, preliminary first quarter 2023 reported revenue numbers. A copy of the Company’s press release is attached hereto as Exhibit 99.1 and is incorporated herein.</w:t>
      </w:r>
    </w:p>
    <w:p>
      <w:pPr>
        <w:spacing w:after="0" w:line="18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right="200" w:firstLine="648"/>
        <w:spacing w:after="0" w:line="284" w:lineRule="auto"/>
        <w:rPr>
          <w:sz w:val="20"/>
          <w:szCs w:val="20"/>
          <w:color w:val="auto"/>
        </w:rPr>
      </w:pPr>
      <w:r>
        <w:rPr>
          <w:rFonts w:ascii="Arial" w:cs="Arial" w:eastAsia="Arial" w:hAnsi="Arial"/>
          <w:sz w:val="16"/>
          <w:szCs w:val="16"/>
          <w:color w:val="auto"/>
        </w:rPr>
        <w:t>Additionally, on April 14, 2023, the Company announced that Damien McDonald resigned as Chief Executive Officer of the Company and as a member of the Company’s Board of Directors, effective immediately. Furthermore, the Company announced that William A. Kozy, Chair of the Board of Directors, has been appointed interim Chief Executive Officer. The Board of Directors has retained a leading international executive search firm to assist with the search for a new Chief Executive Officer. Mr. Kozy will continue to serve as the Chair of the Company’s Board of Directors.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Mr. Kozy, 71, brings a depth of corporate leadership experience in the areas of innovation systems, operations, manufacturing and ERP (Enterprise Resource Planning) implementation as well as broad and relevant experience in global strategy, mergers and acquisitions, technology and product development. Mr. Kozy retired from Becton, Dickinson and Company (BD), a global medical technology company, in 2016 where he served as Executive Vice President and Chief Operating Officer from 2011 to 2016. At BD,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has served on the Company’s Board of Directors since 2018 and has been the Chair of the Board since 2021. He also is the Vice Chair and Lead Director at The Cooper Companies where he has served as a director since 2016. Mr. Kozy holds a B.A. from Kenyon College.</w:t>
      </w:r>
    </w:p>
    <w:p>
      <w:pPr>
        <w:spacing w:after="0" w:line="208" w:lineRule="exact"/>
        <w:rPr>
          <w:sz w:val="20"/>
          <w:szCs w:val="20"/>
          <w:color w:val="auto"/>
        </w:rPr>
      </w:pPr>
    </w:p>
    <w:p>
      <w:pPr>
        <w:jc w:val="both"/>
        <w:ind w:right="60" w:firstLine="648"/>
        <w:spacing w:after="0" w:line="248" w:lineRule="auto"/>
        <w:rPr>
          <w:sz w:val="20"/>
          <w:szCs w:val="20"/>
          <w:color w:val="auto"/>
        </w:rPr>
      </w:pPr>
      <w:r>
        <w:rPr>
          <w:rFonts w:ascii="Arial" w:cs="Arial" w:eastAsia="Arial" w:hAnsi="Arial"/>
          <w:sz w:val="18"/>
          <w:szCs w:val="18"/>
          <w:color w:val="auto"/>
        </w:rPr>
        <w:t>Mr. Kozy does not have any family relationships with any executive officer or director of the Company or its affiliates. There are no arrangements or understandings with the Company, or any other persons, under which Mr. Kozy was elected to serve as an officer of the Company. In addition, he is not party to any transaction requiring disclosure under Item 404(a) of Regulation S-K.</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a settlement agreement (the “Agreement”) dated April 14, 2023 with the Company, the Company elected to bring Mr. McDonald’s 12-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 notice period to an end such that his employment with the Company will cease on May 31, 2023, until which time Mr. McDonald will be on garden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leave. Mr. McDonald will receive a notice payment of £1,062,138.55 in accordance with the terms of his previously disclosed service agreement,</w:t>
      </w:r>
    </w:p>
    <w:p>
      <w:pPr>
        <w:spacing w:after="0"/>
        <w:rPr>
          <w:sz w:val="20"/>
          <w:szCs w:val="20"/>
          <w:color w:val="auto"/>
        </w:rPr>
      </w:pPr>
      <w:r>
        <w:rPr>
          <w:rFonts w:ascii="Arial" w:cs="Arial" w:eastAsia="Arial" w:hAnsi="Arial"/>
          <w:sz w:val="16"/>
          <w:szCs w:val="16"/>
          <w:color w:val="auto"/>
        </w:rPr>
        <w:t>representing the 12-month value of Mr. McDonald’s salary and certain cash benefits during what would have been his notice period. The notice payment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will be received by Mr. McDonald during his garden leave period and thereafter in monthly installments between June 2023 and April 2024 and will be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reduced by income received by Mr. McDonald from any new employment obtained by him during that period. Any unvested equity awards held by Mr.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McDonald will be forfeited on the last day of his employment, i.e., May 31, 2023. Also, in accordance with the terms of Mr. McDonald’s previously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disclosed service agreement, he will continue to receive certain non-cash benefits that would have been received by him during what would have been his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notice period, including health insurance, tax return assistance and the continuation of an existing executive coaching program (to a maximum value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£20,000 plus tax). In addition, pursuant to the Agreement, the Company agreed to contribute to the cost of legal advice for Mr. McDonald in relation to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Agreement, up to a maximum amount of £25,000 plus tax.</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0000FF"/>
              </w:rPr>
              <w:t>Press Release of LivaNova PLC dated April 14, 2023</w:t>
            </w:r>
          </w:p>
        </w:tc>
      </w:tr>
      <w:tr>
        <w:trPr>
          <w:trHeight w:val="20"/>
        </w:trPr>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50"/>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92"/>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280"/>
        <w:spacing w:after="0"/>
        <w:tabs>
          <w:tab w:leader="none" w:pos="5260" w:val="left"/>
        </w:tabs>
        <w:rPr>
          <w:sz w:val="20"/>
          <w:szCs w:val="20"/>
          <w:color w:val="auto"/>
        </w:rPr>
      </w:pPr>
      <w:r>
        <w:rPr>
          <w:rFonts w:ascii="Arial" w:cs="Arial" w:eastAsia="Arial" w:hAnsi="Arial"/>
          <w:sz w:val="18"/>
          <w:szCs w:val="18"/>
          <w:color w:val="auto"/>
        </w:rPr>
        <w:t>Date: April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jc w:val="right"/>
        <w:ind w:right="328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Chief Legal Officer</w:t>
      </w:r>
    </w:p>
    <w:p>
      <w:pPr>
        <w:sectPr>
          <w:pgSz w:w="11900" w:h="16838" w:orient="portrait"/>
          <w:cols w:equalWidth="0" w:num="1">
            <w:col w:w="10940"/>
          </w:cols>
          <w:pgMar w:left="320" w:top="1012" w:right="6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8021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100"/>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6D2077"/>
        </w:rPr>
        <w:t>LivaNova Board of Directors Announce Leadership Changes</w:t>
      </w:r>
    </w:p>
    <w:p>
      <w:pPr>
        <w:spacing w:after="0" w:line="386" w:lineRule="exact"/>
        <w:rPr>
          <w:sz w:val="20"/>
          <w:szCs w:val="20"/>
          <w:color w:val="auto"/>
        </w:rPr>
      </w:pPr>
    </w:p>
    <w:p>
      <w:pPr>
        <w:jc w:val="both"/>
        <w:spacing w:after="0" w:line="367" w:lineRule="auto"/>
        <w:rPr>
          <w:sz w:val="20"/>
          <w:szCs w:val="20"/>
          <w:color w:val="auto"/>
        </w:rPr>
      </w:pPr>
      <w:r>
        <w:rPr>
          <w:rFonts w:ascii="Arial" w:cs="Arial" w:eastAsia="Arial" w:hAnsi="Arial"/>
          <w:sz w:val="20"/>
          <w:szCs w:val="20"/>
          <w:b w:val="1"/>
          <w:bCs w:val="1"/>
          <w:color w:val="auto"/>
        </w:rPr>
        <w:t xml:space="preserve">London, April 14, 2023 — </w:t>
      </w:r>
      <w:r>
        <w:rPr>
          <w:rFonts w:ascii="Arial" w:cs="Arial" w:eastAsia="Arial" w:hAnsi="Arial"/>
          <w:sz w:val="20"/>
          <w:szCs w:val="20"/>
          <w:color w:val="auto"/>
        </w:rPr>
        <w:t>LivaNova PLC (Nasdaq: 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Damien McDonald has resigned as Chief Executive Officer. Effective immediately, Chair of the Board William A. Kozy is appointed interim CEO to help the executive leadership team maintain the focus on growth and profitability. The Board has retained a leading international executive search firm to assist with the CEO search. Kozy will continue as Chair of LivaNova’s Board of Directors. McDonald will remain available to assist with handover activities until the end of May 2023.</w:t>
      </w:r>
    </w:p>
    <w:p>
      <w:pPr>
        <w:spacing w:after="0" w:line="102" w:lineRule="exact"/>
        <w:rPr>
          <w:sz w:val="20"/>
          <w:szCs w:val="20"/>
          <w:color w:val="auto"/>
        </w:rPr>
      </w:pPr>
    </w:p>
    <w:p>
      <w:pPr>
        <w:jc w:val="both"/>
        <w:ind w:right="20"/>
        <w:spacing w:after="0" w:line="359" w:lineRule="auto"/>
        <w:rPr>
          <w:sz w:val="20"/>
          <w:szCs w:val="20"/>
          <w:color w:val="auto"/>
        </w:rPr>
      </w:pPr>
      <w:r>
        <w:rPr>
          <w:rFonts w:ascii="Arial" w:cs="Arial" w:eastAsia="Arial" w:hAnsi="Arial"/>
          <w:sz w:val="20"/>
          <w:szCs w:val="20"/>
          <w:color w:val="auto"/>
        </w:rPr>
        <w:t>“As we move forward, I would like to express our gratitude on behalf of the Board to Damien McDonald for his dedicated leadership through a challenging period of Covid and unrivaled global economic disruption. We wish him the best in his future endeavors. We are confident in our experienced senior management team and anticipate a smooth and positive transition over the quarter,” said Kozy.</w:t>
      </w:r>
    </w:p>
    <w:p>
      <w:pPr>
        <w:spacing w:after="0" w:line="109"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Kozy joined the LivaNova Board of Directors in 2018. He brings a depth of experience to strategy execution, operations and financial discipline after his 42-year career at Becton Dickinson (NYSE: BDX) where he retired as COO in 2016. Kozy is also the Vice Chair and Lead Director at The Cooper Companies (NYSE: COO) where he has served since 2016.</w:t>
      </w:r>
    </w:p>
    <w:p>
      <w:pPr>
        <w:spacing w:after="0" w:line="93"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“I am excited to lead LivaNova in this interim capacity as we maintain our focus on helping patients around the world with our differentiated portfolio of medical therapies, our commitment to longer-term innovation and shareholder value creation,” said Kozy.</w:t>
      </w:r>
    </w:p>
    <w:p>
      <w:pPr>
        <w:spacing w:after="0" w:line="10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Separately, the company is announcing preliminary first quarter 2023 reported revenue of $263 million, an increase of 9% from first quarter 2022 reported revenue of $240 million. LivaNova will release full first-quarter results on May 3, 2023.</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148"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2,900 employees and has</w:t>
      </w:r>
    </w:p>
    <w:p>
      <w:pPr>
        <w:sectPr>
          <w:pgSz w:w="11900" w:h="16838" w:orient="portrait"/>
          <w:cols w:equalWidth="0" w:num="1">
            <w:col w:w="11240"/>
          </w:cols>
          <w:pgMar w:left="320" w:top="1440" w:right="339" w:bottom="1440" w:gutter="0" w:footer="0" w:header="0"/>
        </w:sectPr>
      </w:pPr>
    </w:p>
    <w:bookmarkStart w:id="4" w:name="page5"/>
    <w:bookmarkEnd w:id="4"/>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 presence in more than 100 countries for the benefit of patients, healthcare professionals and healthcare systems worldwide.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www.livanova.com.</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148"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statements regarding projected revenue of the Company, and are based on the Company’s current estimates and expectations and remain subject to change and finalization based on management’s ongoing review of results of the quarter and completion of all quarter-end close processes. Actual events may differ materially from those indicated in our forward-looking statements as a result of various factors, including those factors set forth in Item 1A of the Company’s most recent Annual Report on Form 10-K, as supplemented by any risk factors contained in Quarterly Reports on Form 10-Q and Current Reports on Form 8-K. LivaNova undertakes no obligation to update the information contained in this press release to reflect subsequently occurring events or circumstances.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6D2077"/>
        </w:rPr>
        <w:t>LivaNova Investor Relations and Media Contacts</w:t>
      </w:r>
    </w:p>
    <w:p>
      <w:pPr>
        <w:spacing w:after="0"/>
        <w:rPr>
          <w:sz w:val="20"/>
          <w:szCs w:val="20"/>
          <w:color w:val="auto"/>
        </w:rPr>
      </w:pPr>
      <w:r>
        <w:rPr>
          <w:rFonts w:ascii="Arial" w:cs="Arial" w:eastAsia="Arial" w:hAnsi="Arial"/>
          <w:sz w:val="20"/>
          <w:szCs w:val="20"/>
          <w:color w:val="auto"/>
        </w:rPr>
        <w:t>+1 281-895-2382</w:t>
      </w:r>
    </w:p>
    <w:p>
      <w:pPr>
        <w:spacing w:after="0" w:line="225" w:lineRule="auto"/>
        <w:rPr>
          <w:sz w:val="20"/>
          <w:szCs w:val="20"/>
          <w:color w:val="auto"/>
        </w:rPr>
      </w:pPr>
      <w:r>
        <w:rPr>
          <w:rFonts w:ascii="Arial" w:cs="Arial" w:eastAsia="Arial" w:hAnsi="Arial"/>
          <w:sz w:val="20"/>
          <w:szCs w:val="20"/>
          <w:b w:val="1"/>
          <w:bCs w:val="1"/>
          <w:color w:val="auto"/>
        </w:rPr>
        <w:t>Briana Gotlin</w:t>
      </w:r>
    </w:p>
    <w:p>
      <w:pPr>
        <w:spacing w:after="0"/>
        <w:rPr>
          <w:sz w:val="20"/>
          <w:szCs w:val="20"/>
          <w:color w:val="auto"/>
        </w:rPr>
      </w:pPr>
      <w:r>
        <w:rPr>
          <w:rFonts w:ascii="Arial" w:cs="Arial" w:eastAsia="Arial" w:hAnsi="Arial"/>
          <w:sz w:val="20"/>
          <w:szCs w:val="20"/>
          <w:color w:val="auto"/>
        </w:rPr>
        <w:t>Director, Investor Relations</w:t>
      </w:r>
    </w:p>
    <w:p>
      <w:pPr>
        <w:spacing w:after="0" w:line="225" w:lineRule="auto"/>
        <w:rPr>
          <w:sz w:val="20"/>
          <w:szCs w:val="20"/>
          <w:color w:val="auto"/>
        </w:rPr>
      </w:pPr>
      <w:r>
        <w:rPr>
          <w:rFonts w:ascii="Arial" w:cs="Arial" w:eastAsia="Arial" w:hAnsi="Arial"/>
          <w:sz w:val="20"/>
          <w:szCs w:val="20"/>
          <w:u w:val="single" w:color="auto"/>
          <w:color w:val="0563C1"/>
        </w:rPr>
        <w:t>InvestorRelations@livanova.com</w:t>
      </w:r>
    </w:p>
    <w:p>
      <w:pPr>
        <w:spacing w:after="0" w:line="225" w:lineRule="auto"/>
        <w:rPr>
          <w:sz w:val="20"/>
          <w:szCs w:val="20"/>
          <w:color w:val="auto"/>
        </w:rPr>
      </w:pPr>
      <w:r>
        <w:rPr>
          <w:rFonts w:ascii="Arial" w:cs="Arial" w:eastAsia="Arial" w:hAnsi="Arial"/>
          <w:sz w:val="20"/>
          <w:szCs w:val="20"/>
          <w:b w:val="1"/>
          <w:bCs w:val="1"/>
          <w:color w:val="auto"/>
        </w:rPr>
        <w:t>Deanna Wilke</w:t>
      </w:r>
    </w:p>
    <w:p>
      <w:pPr>
        <w:spacing w:after="0"/>
        <w:rPr>
          <w:sz w:val="20"/>
          <w:szCs w:val="20"/>
          <w:color w:val="auto"/>
        </w:rPr>
      </w:pPr>
      <w:r>
        <w:rPr>
          <w:rFonts w:ascii="Arial" w:cs="Arial" w:eastAsia="Arial" w:hAnsi="Arial"/>
          <w:sz w:val="20"/>
          <w:szCs w:val="20"/>
          <w:color w:val="auto"/>
        </w:rPr>
        <w:t>VP, Corporate Communications</w:t>
      </w:r>
    </w:p>
    <w:p>
      <w:pPr>
        <w:spacing w:after="0"/>
        <w:rPr>
          <w:sz w:val="20"/>
          <w:szCs w:val="20"/>
          <w:color w:val="auto"/>
        </w:rPr>
      </w:pPr>
      <w:r>
        <w:rPr>
          <w:rFonts w:ascii="Arial" w:cs="Arial" w:eastAsia="Arial" w:hAnsi="Arial"/>
          <w:sz w:val="20"/>
          <w:szCs w:val="20"/>
          <w:u w:val="single" w:color="auto"/>
          <w:color w:val="0563C1"/>
        </w:rPr>
        <w:t>Corporate.Communications@livanova.com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2023-04-14T15:47:30Z</dcterms:created>
  <dcterms:modified xsi:type="dcterms:W3CDTF">2023-04-14T15:47:30Z</dcterms:modified>
</cp:coreProperties>
</file>