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6993890" cy="5626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56261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Dolci Marco</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LivaNova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LIVN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0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02/27/2023</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0"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140"/>
        <w:spacing w:after="0"/>
        <w:rPr>
          <w:sz w:val="20"/>
          <w:szCs w:val="20"/>
          <w:color w:val="auto"/>
        </w:rPr>
      </w:pPr>
      <w:r>
        <w:rPr>
          <w:rFonts w:ascii="Arial" w:cs="Arial" w:eastAsia="Arial" w:hAnsi="Arial"/>
          <w:sz w:val="17"/>
          <w:szCs w:val="17"/>
          <w:color w:val="0000FF"/>
        </w:rPr>
        <w:t>President CP</w:t>
      </w:r>
    </w:p>
    <w:p>
      <w:pPr>
        <w:spacing w:after="0" w:line="307" w:lineRule="exact"/>
        <w:rPr>
          <w:sz w:val="24"/>
          <w:szCs w:val="24"/>
          <w:color w:val="auto"/>
        </w:rPr>
      </w:pPr>
    </w:p>
    <w:p>
      <w:pPr>
        <w:sectPr>
          <w:pgSz w:w="11900" w:h="16838" w:orient="portrait"/>
          <w:cols w:equalWidth="0" w:num="3">
            <w:col w:w="3200" w:space="720"/>
            <w:col w:w="3100" w:space="720"/>
            <w:col w:w="3340"/>
          </w:cols>
          <w:pgMar w:left="460" w:top="221" w:right="35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980" w:type="dxa"/>
            <w:vAlign w:val="bottom"/>
          </w:tcPr>
          <w:p>
            <w:pPr>
              <w:ind w:left="20"/>
              <w:spacing w:after="0"/>
              <w:rPr>
                <w:sz w:val="20"/>
                <w:szCs w:val="20"/>
                <w:color w:val="auto"/>
              </w:rPr>
            </w:pPr>
            <w:r>
              <w:rPr>
                <w:rFonts w:ascii="Arial" w:cs="Arial" w:eastAsia="Arial" w:hAnsi="Arial"/>
                <w:sz w:val="17"/>
                <w:szCs w:val="17"/>
                <w:color w:val="0000FF"/>
              </w:rPr>
              <w:t>LONDON</w:t>
            </w:r>
          </w:p>
        </w:tc>
        <w:tc>
          <w:tcPr>
            <w:tcW w:w="1080" w:type="dxa"/>
            <w:vAlign w:val="bottom"/>
          </w:tcPr>
          <w:p>
            <w:pPr>
              <w:ind w:left="260"/>
              <w:spacing w:after="0"/>
              <w:rPr>
                <w:sz w:val="20"/>
                <w:szCs w:val="20"/>
                <w:color w:val="auto"/>
              </w:rPr>
            </w:pPr>
            <w:r>
              <w:rPr>
                <w:rFonts w:ascii="Arial" w:cs="Arial" w:eastAsia="Arial" w:hAnsi="Arial"/>
                <w:sz w:val="17"/>
                <w:szCs w:val="17"/>
                <w:color w:val="0000FF"/>
              </w:rPr>
              <w:t>X0</w:t>
            </w:r>
          </w:p>
        </w:tc>
        <w:tc>
          <w:tcPr>
            <w:tcW w:w="1600" w:type="dxa"/>
            <w:vAlign w:val="bottom"/>
          </w:tcPr>
          <w:p>
            <w:pPr>
              <w:ind w:left="400"/>
              <w:spacing w:after="0"/>
              <w:rPr>
                <w:sz w:val="20"/>
                <w:szCs w:val="20"/>
                <w:color w:val="auto"/>
              </w:rPr>
            </w:pPr>
            <w:r>
              <w:rPr>
                <w:rFonts w:ascii="Arial" w:cs="Arial" w:eastAsia="Arial" w:hAnsi="Arial"/>
                <w:sz w:val="17"/>
                <w:szCs w:val="17"/>
                <w:color w:val="0000FF"/>
              </w:rPr>
              <w:t>W26LG</w:t>
            </w:r>
          </w:p>
        </w:tc>
      </w:tr>
      <w:tr>
        <w:trPr>
          <w:trHeight w:val="149"/>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8"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98" w:lineRule="exact"/>
        <w:rPr>
          <w:sz w:val="24"/>
          <w:szCs w:val="24"/>
          <w:color w:val="auto"/>
        </w:rPr>
      </w:pPr>
    </w:p>
    <w:p>
      <w:pPr>
        <w:sectPr>
          <w:pgSz w:w="11900" w:h="16838" w:orient="portrait"/>
          <w:cols w:equalWidth="0" w:num="2">
            <w:col w:w="3760" w:space="160"/>
            <w:col w:w="716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tcPr>
          <w:p>
            <w:pPr>
              <w:ind w:left="640"/>
              <w:spacing w:after="0" w:line="126"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0"/>
                <w:szCs w:val="10"/>
                <w:color w:val="auto"/>
              </w:rPr>
            </w:pPr>
          </w:p>
        </w:tc>
        <w:tc>
          <w:tcPr>
            <w:tcW w:w="1000" w:type="dxa"/>
            <w:vAlign w:val="bottom"/>
            <w:gridSpan w:val="2"/>
          </w:tcPr>
          <w:p>
            <w:pPr>
              <w:ind w:left="40"/>
              <w:spacing w:after="0" w:line="126"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Transaction</w:t>
            </w:r>
          </w:p>
        </w:tc>
        <w:tc>
          <w:tcPr>
            <w:tcW w:w="2000" w:type="dxa"/>
            <w:vAlign w:val="bottom"/>
            <w:gridSpan w:val="4"/>
          </w:tcPr>
          <w:p>
            <w:pPr>
              <w:ind w:left="120"/>
              <w:spacing w:after="0" w:line="126" w:lineRule="exact"/>
              <w:rPr>
                <w:sz w:val="20"/>
                <w:szCs w:val="20"/>
                <w:color w:val="auto"/>
              </w:rPr>
            </w:pPr>
            <w:r>
              <w:rPr>
                <w:rFonts w:ascii="Arial" w:cs="Arial" w:eastAsia="Arial" w:hAnsi="Arial"/>
                <w:sz w:val="12"/>
                <w:szCs w:val="12"/>
                <w:b w:val="1"/>
                <w:bCs w:val="1"/>
                <w:color w:val="auto"/>
                <w:w w:val="98"/>
              </w:rPr>
              <w:t>Disposed Of (D) (Instr. 3, 4 and 5)</w:t>
            </w:r>
          </w:p>
        </w:tc>
        <w:tc>
          <w:tcPr>
            <w:tcW w:w="12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80" w:type="dxa"/>
            <w:vAlign w:val="bottom"/>
            <w:gridSpan w:val="2"/>
          </w:tcPr>
          <w:p>
            <w:pPr>
              <w:jc w:val="center"/>
              <w:ind w:left="471"/>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0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2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2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jc w:val="center"/>
              <w:ind w:left="471"/>
              <w:spacing w:after="0"/>
              <w:rPr>
                <w:sz w:val="20"/>
                <w:szCs w:val="20"/>
                <w:color w:val="auto"/>
              </w:rPr>
            </w:pPr>
            <w:r>
              <w:rPr>
                <w:rFonts w:ascii="Arial" w:cs="Arial" w:eastAsia="Arial" w:hAnsi="Arial"/>
                <w:sz w:val="17"/>
                <w:szCs w:val="17"/>
                <w:color w:val="0000FF"/>
                <w:w w:val="91"/>
              </w:rPr>
              <w:t>02/27/2023</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38"/>
              <w:spacing w:after="0"/>
              <w:rPr>
                <w:sz w:val="20"/>
                <w:szCs w:val="20"/>
                <w:color w:val="auto"/>
              </w:rPr>
            </w:pPr>
            <w:r>
              <w:rPr>
                <w:rFonts w:ascii="Arial" w:cs="Arial" w:eastAsia="Arial" w:hAnsi="Arial"/>
                <w:sz w:val="13"/>
                <w:szCs w:val="13"/>
                <w:color w:val="0000FF"/>
                <w:w w:val="91"/>
              </w:rPr>
              <w:t>M</w:t>
            </w:r>
          </w:p>
        </w:tc>
        <w:tc>
          <w:tcPr>
            <w:tcW w:w="720" w:type="dxa"/>
            <w:vAlign w:val="bottom"/>
            <w:tcBorders>
              <w:bottom w:val="single" w:sz="8" w:color="2C2C2C"/>
            </w:tcBorders>
          </w:tcPr>
          <w:p>
            <w:pPr>
              <w:jc w:val="center"/>
              <w:ind w:left="133"/>
              <w:spacing w:after="0"/>
              <w:rPr>
                <w:sz w:val="20"/>
                <w:szCs w:val="20"/>
                <w:color w:val="auto"/>
              </w:rPr>
            </w:pPr>
            <w:r>
              <w:rPr>
                <w:rFonts w:ascii="Arial" w:cs="Arial" w:eastAsia="Arial" w:hAnsi="Arial"/>
                <w:sz w:val="17"/>
                <w:szCs w:val="17"/>
                <w:color w:val="0000FF"/>
                <w:w w:val="84"/>
              </w:rPr>
              <w:t>4,188</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jc w:val="center"/>
              <w:ind w:left="114"/>
              <w:spacing w:after="0" w:line="309" w:lineRule="exact"/>
              <w:rPr>
                <w:sz w:val="20"/>
                <w:szCs w:val="20"/>
                <w:color w:val="auto"/>
              </w:rPr>
            </w:pPr>
            <w:r>
              <w:rPr>
                <w:rFonts w:ascii="Arial" w:cs="Arial" w:eastAsia="Arial" w:hAnsi="Arial"/>
                <w:sz w:val="33"/>
                <w:szCs w:val="33"/>
                <w:color w:val="000000"/>
                <w:w w:val="79"/>
                <w:vertAlign w:val="subscript"/>
              </w:rPr>
              <w:t>$</w:t>
            </w:r>
            <w:r>
              <w:rPr>
                <w:rFonts w:ascii="Arial" w:cs="Arial" w:eastAsia="Arial" w:hAnsi="Arial"/>
                <w:sz w:val="33"/>
                <w:szCs w:val="33"/>
                <w:color w:val="0000FF"/>
                <w:w w:val="79"/>
                <w:vertAlign w:val="subscript"/>
              </w:rPr>
              <w:t>0</w:t>
            </w:r>
            <w:r>
              <w:rPr>
                <w:rFonts w:ascii="Arial" w:cs="Arial" w:eastAsia="Arial" w:hAnsi="Arial"/>
                <w:sz w:val="11"/>
                <w:szCs w:val="11"/>
                <w:color w:val="008000"/>
                <w:w w:val="79"/>
              </w:rPr>
              <w:t>(1)</w:t>
            </w:r>
          </w:p>
        </w:tc>
        <w:tc>
          <w:tcPr>
            <w:tcW w:w="1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400"/>
              <w:spacing w:after="0"/>
              <w:rPr>
                <w:sz w:val="20"/>
                <w:szCs w:val="20"/>
                <w:color w:val="auto"/>
              </w:rPr>
            </w:pPr>
            <w:r>
              <w:rPr>
                <w:rFonts w:ascii="Arial" w:cs="Arial" w:eastAsia="Arial" w:hAnsi="Arial"/>
                <w:sz w:val="17"/>
                <w:szCs w:val="17"/>
                <w:color w:val="0000FF"/>
              </w:rPr>
              <w:t>6,477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jc w:val="center"/>
              <w:ind w:left="471"/>
              <w:spacing w:after="0"/>
              <w:rPr>
                <w:sz w:val="20"/>
                <w:szCs w:val="20"/>
                <w:color w:val="auto"/>
              </w:rPr>
            </w:pPr>
            <w:r>
              <w:rPr>
                <w:rFonts w:ascii="Arial" w:cs="Arial" w:eastAsia="Arial" w:hAnsi="Arial"/>
                <w:sz w:val="17"/>
                <w:szCs w:val="17"/>
                <w:color w:val="0000FF"/>
                <w:w w:val="91"/>
              </w:rPr>
              <w:t>02/27/2023</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38"/>
              <w:spacing w:after="0"/>
              <w:rPr>
                <w:sz w:val="20"/>
                <w:szCs w:val="20"/>
                <w:color w:val="auto"/>
              </w:rPr>
            </w:pPr>
            <w:r>
              <w:rPr>
                <w:rFonts w:ascii="Arial" w:cs="Arial" w:eastAsia="Arial" w:hAnsi="Arial"/>
                <w:sz w:val="13"/>
                <w:szCs w:val="13"/>
                <w:color w:val="0000FF"/>
                <w:w w:val="74"/>
              </w:rPr>
              <w:t>F</w:t>
            </w:r>
          </w:p>
        </w:tc>
        <w:tc>
          <w:tcPr>
            <w:tcW w:w="720" w:type="dxa"/>
            <w:vAlign w:val="bottom"/>
            <w:tcBorders>
              <w:bottom w:val="single" w:sz="8" w:color="2C2C2C"/>
            </w:tcBorders>
          </w:tcPr>
          <w:p>
            <w:pPr>
              <w:jc w:val="center"/>
              <w:ind w:left="133"/>
              <w:spacing w:after="0"/>
              <w:rPr>
                <w:sz w:val="20"/>
                <w:szCs w:val="20"/>
                <w:color w:val="auto"/>
              </w:rPr>
            </w:pPr>
            <w:r>
              <w:rPr>
                <w:rFonts w:ascii="Arial" w:cs="Arial" w:eastAsia="Arial" w:hAnsi="Arial"/>
                <w:sz w:val="17"/>
                <w:szCs w:val="17"/>
                <w:color w:val="0000FF"/>
                <w:w w:val="87"/>
              </w:rPr>
              <w:t>1,801</w:t>
            </w:r>
            <w:r>
              <w:rPr>
                <w:rFonts w:ascii="Arial" w:cs="Arial" w:eastAsia="Arial" w:hAnsi="Arial"/>
                <w:sz w:val="21"/>
                <w:szCs w:val="21"/>
                <w:color w:val="008000"/>
                <w:w w:val="87"/>
                <w:vertAlign w:val="superscript"/>
              </w:rPr>
              <w:t>(2)</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47.99</w:t>
            </w:r>
          </w:p>
        </w:tc>
        <w:tc>
          <w:tcPr>
            <w:tcW w:w="1200" w:type="dxa"/>
            <w:vAlign w:val="bottom"/>
            <w:tcBorders>
              <w:bottom w:val="single" w:sz="8" w:color="2C2C2C"/>
            </w:tcBorders>
            <w:gridSpan w:val="2"/>
          </w:tcPr>
          <w:p>
            <w:pPr>
              <w:ind w:left="400"/>
              <w:spacing w:after="0"/>
              <w:rPr>
                <w:sz w:val="20"/>
                <w:szCs w:val="20"/>
                <w:color w:val="auto"/>
              </w:rPr>
            </w:pPr>
            <w:r>
              <w:rPr>
                <w:rFonts w:ascii="Arial" w:cs="Arial" w:eastAsia="Arial" w:hAnsi="Arial"/>
                <w:sz w:val="17"/>
                <w:szCs w:val="17"/>
                <w:color w:val="0000FF"/>
              </w:rPr>
              <w:t>4,676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jc w:val="center"/>
              <w:ind w:left="471"/>
              <w:spacing w:after="0"/>
              <w:rPr>
                <w:sz w:val="20"/>
                <w:szCs w:val="20"/>
                <w:color w:val="auto"/>
              </w:rPr>
            </w:pPr>
            <w:r>
              <w:rPr>
                <w:rFonts w:ascii="Arial" w:cs="Arial" w:eastAsia="Arial" w:hAnsi="Arial"/>
                <w:sz w:val="17"/>
                <w:szCs w:val="17"/>
                <w:color w:val="0000FF"/>
                <w:w w:val="91"/>
              </w:rPr>
              <w:t>02/27/2023</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38"/>
              <w:spacing w:after="0"/>
              <w:rPr>
                <w:sz w:val="20"/>
                <w:szCs w:val="20"/>
                <w:color w:val="auto"/>
              </w:rPr>
            </w:pPr>
            <w:r>
              <w:rPr>
                <w:rFonts w:ascii="Arial" w:cs="Arial" w:eastAsia="Arial" w:hAnsi="Arial"/>
                <w:sz w:val="13"/>
                <w:szCs w:val="13"/>
                <w:color w:val="0000FF"/>
                <w:w w:val="91"/>
              </w:rPr>
              <w:t>M</w:t>
            </w:r>
          </w:p>
        </w:tc>
        <w:tc>
          <w:tcPr>
            <w:tcW w:w="720" w:type="dxa"/>
            <w:vAlign w:val="bottom"/>
            <w:tcBorders>
              <w:bottom w:val="single" w:sz="8" w:color="2C2C2C"/>
            </w:tcBorders>
          </w:tcPr>
          <w:p>
            <w:pPr>
              <w:jc w:val="center"/>
              <w:ind w:left="133"/>
              <w:spacing w:after="0"/>
              <w:rPr>
                <w:sz w:val="20"/>
                <w:szCs w:val="20"/>
                <w:color w:val="auto"/>
              </w:rPr>
            </w:pPr>
            <w:r>
              <w:rPr>
                <w:rFonts w:ascii="Arial" w:cs="Arial" w:eastAsia="Arial" w:hAnsi="Arial"/>
                <w:sz w:val="17"/>
                <w:szCs w:val="17"/>
                <w:color w:val="0000FF"/>
                <w:w w:val="84"/>
              </w:rPr>
              <w:t>1,761</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jc w:val="center"/>
              <w:ind w:left="114"/>
              <w:spacing w:after="0" w:line="309" w:lineRule="exact"/>
              <w:rPr>
                <w:sz w:val="20"/>
                <w:szCs w:val="20"/>
                <w:color w:val="auto"/>
              </w:rPr>
            </w:pPr>
            <w:r>
              <w:rPr>
                <w:rFonts w:ascii="Arial" w:cs="Arial" w:eastAsia="Arial" w:hAnsi="Arial"/>
                <w:sz w:val="33"/>
                <w:szCs w:val="33"/>
                <w:color w:val="000000"/>
                <w:w w:val="79"/>
                <w:vertAlign w:val="subscript"/>
              </w:rPr>
              <w:t>$</w:t>
            </w:r>
            <w:r>
              <w:rPr>
                <w:rFonts w:ascii="Arial" w:cs="Arial" w:eastAsia="Arial" w:hAnsi="Arial"/>
                <w:sz w:val="33"/>
                <w:szCs w:val="33"/>
                <w:color w:val="0000FF"/>
                <w:w w:val="79"/>
                <w:vertAlign w:val="subscript"/>
              </w:rPr>
              <w:t>0</w:t>
            </w:r>
            <w:r>
              <w:rPr>
                <w:rFonts w:ascii="Arial" w:cs="Arial" w:eastAsia="Arial" w:hAnsi="Arial"/>
                <w:sz w:val="11"/>
                <w:szCs w:val="11"/>
                <w:color w:val="008000"/>
                <w:w w:val="79"/>
              </w:rPr>
              <w:t>(1)</w:t>
            </w:r>
          </w:p>
        </w:tc>
        <w:tc>
          <w:tcPr>
            <w:tcW w:w="1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400"/>
              <w:spacing w:after="0"/>
              <w:rPr>
                <w:sz w:val="20"/>
                <w:szCs w:val="20"/>
                <w:color w:val="auto"/>
              </w:rPr>
            </w:pPr>
            <w:r>
              <w:rPr>
                <w:rFonts w:ascii="Arial" w:cs="Arial" w:eastAsia="Arial" w:hAnsi="Arial"/>
                <w:sz w:val="17"/>
                <w:szCs w:val="17"/>
                <w:color w:val="0000FF"/>
              </w:rPr>
              <w:t>6,437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jc w:val="center"/>
              <w:ind w:left="471"/>
              <w:spacing w:after="0"/>
              <w:rPr>
                <w:sz w:val="20"/>
                <w:szCs w:val="20"/>
                <w:color w:val="auto"/>
              </w:rPr>
            </w:pPr>
            <w:r>
              <w:rPr>
                <w:rFonts w:ascii="Arial" w:cs="Arial" w:eastAsia="Arial" w:hAnsi="Arial"/>
                <w:sz w:val="17"/>
                <w:szCs w:val="17"/>
                <w:color w:val="0000FF"/>
                <w:w w:val="91"/>
              </w:rPr>
              <w:t>02/27/2023</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38"/>
              <w:spacing w:after="0"/>
              <w:rPr>
                <w:sz w:val="20"/>
                <w:szCs w:val="20"/>
                <w:color w:val="auto"/>
              </w:rPr>
            </w:pPr>
            <w:r>
              <w:rPr>
                <w:rFonts w:ascii="Arial" w:cs="Arial" w:eastAsia="Arial" w:hAnsi="Arial"/>
                <w:sz w:val="13"/>
                <w:szCs w:val="13"/>
                <w:color w:val="0000FF"/>
                <w:w w:val="74"/>
              </w:rPr>
              <w:t>F</w:t>
            </w:r>
          </w:p>
        </w:tc>
        <w:tc>
          <w:tcPr>
            <w:tcW w:w="720" w:type="dxa"/>
            <w:vAlign w:val="bottom"/>
            <w:tcBorders>
              <w:bottom w:val="single" w:sz="8" w:color="2C2C2C"/>
            </w:tcBorders>
          </w:tcPr>
          <w:p>
            <w:pPr>
              <w:jc w:val="center"/>
              <w:ind w:left="133"/>
              <w:spacing w:after="0"/>
              <w:rPr>
                <w:sz w:val="20"/>
                <w:szCs w:val="20"/>
                <w:color w:val="auto"/>
              </w:rPr>
            </w:pPr>
            <w:r>
              <w:rPr>
                <w:rFonts w:ascii="Arial" w:cs="Arial" w:eastAsia="Arial" w:hAnsi="Arial"/>
                <w:sz w:val="17"/>
                <w:szCs w:val="17"/>
                <w:color w:val="0000FF"/>
                <w:w w:val="79"/>
              </w:rPr>
              <w:t>758</w:t>
            </w:r>
            <w:r>
              <w:rPr>
                <w:rFonts w:ascii="Arial" w:cs="Arial" w:eastAsia="Arial" w:hAnsi="Arial"/>
                <w:sz w:val="21"/>
                <w:szCs w:val="21"/>
                <w:color w:val="008000"/>
                <w:w w:val="79"/>
                <w:vertAlign w:val="superscript"/>
              </w:rPr>
              <w:t>(2)</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47.99</w:t>
            </w:r>
          </w:p>
        </w:tc>
        <w:tc>
          <w:tcPr>
            <w:tcW w:w="1200" w:type="dxa"/>
            <w:vAlign w:val="bottom"/>
            <w:tcBorders>
              <w:bottom w:val="single" w:sz="8" w:color="2C2C2C"/>
            </w:tcBorders>
            <w:gridSpan w:val="2"/>
          </w:tcPr>
          <w:p>
            <w:pPr>
              <w:ind w:left="400"/>
              <w:spacing w:after="0"/>
              <w:rPr>
                <w:sz w:val="20"/>
                <w:szCs w:val="20"/>
                <w:color w:val="auto"/>
              </w:rPr>
            </w:pPr>
            <w:r>
              <w:rPr>
                <w:rFonts w:ascii="Arial" w:cs="Arial" w:eastAsia="Arial" w:hAnsi="Arial"/>
                <w:sz w:val="17"/>
                <w:szCs w:val="17"/>
                <w:color w:val="0000FF"/>
              </w:rPr>
              <w:t>5,679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40" w:type="dxa"/>
            <w:vAlign w:val="bottom"/>
            <w:tcBorders>
              <w:top w:val="single" w:sz="8" w:color="2C2C2C"/>
            </w:tcBorders>
            <w:gridSpan w:val="12"/>
          </w:tcPr>
          <w:p>
            <w:pPr>
              <w:ind w:left="9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60" w:type="dxa"/>
            <w:vAlign w:val="bottom"/>
            <w:gridSpan w:val="10"/>
          </w:tcPr>
          <w:p>
            <w:pPr>
              <w:ind w:left="5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ind w:right="53"/>
              <w:spacing w:after="0" w:line="129" w:lineRule="exact"/>
              <w:rPr>
                <w:sz w:val="20"/>
                <w:szCs w:val="20"/>
                <w:color w:val="auto"/>
              </w:rPr>
            </w:pPr>
            <w:r>
              <w:rPr>
                <w:rFonts w:ascii="Arial" w:cs="Arial" w:eastAsia="Arial" w:hAnsi="Arial"/>
                <w:sz w:val="12"/>
                <w:szCs w:val="12"/>
                <w:b w:val="1"/>
                <w:bCs w:val="1"/>
                <w:color w:val="auto"/>
                <w:w w:val="95"/>
              </w:rPr>
              <w:t>Expiration</w:t>
            </w:r>
          </w:p>
        </w:tc>
        <w:tc>
          <w:tcPr>
            <w:tcW w:w="620" w:type="dxa"/>
            <w:vAlign w:val="bottom"/>
          </w:tcPr>
          <w:p>
            <w:pPr>
              <w:spacing w:after="0"/>
              <w:rPr>
                <w:sz w:val="11"/>
                <w:szCs w:val="11"/>
                <w:color w:val="auto"/>
              </w:rPr>
            </w:pPr>
          </w:p>
        </w:tc>
        <w:tc>
          <w:tcPr>
            <w:tcW w:w="6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80" w:type="dxa"/>
            <w:vAlign w:val="bottom"/>
          </w:tcPr>
          <w:p>
            <w:pPr>
              <w:ind w:left="60"/>
              <w:spacing w:after="0"/>
              <w:rPr>
                <w:sz w:val="20"/>
                <w:szCs w:val="20"/>
                <w:color w:val="auto"/>
              </w:rPr>
            </w:pPr>
            <w:r>
              <w:rPr>
                <w:rFonts w:ascii="Arial" w:cs="Arial" w:eastAsia="Arial" w:hAnsi="Arial"/>
                <w:sz w:val="13"/>
                <w:szCs w:val="13"/>
                <w:color w:val="0000FF"/>
                <w:w w:val="94"/>
              </w:rPr>
              <w:t>Performance</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1080" w:type="dxa"/>
            <w:vAlign w:val="bottom"/>
            <w:vMerge w:val="restart"/>
          </w:tcPr>
          <w:p>
            <w:pPr>
              <w:jc w:val="right"/>
              <w:ind w:right="176"/>
              <w:spacing w:after="0"/>
              <w:rPr>
                <w:sz w:val="20"/>
                <w:szCs w:val="20"/>
                <w:color w:val="auto"/>
              </w:rPr>
            </w:pPr>
            <w:r>
              <w:rPr>
                <w:rFonts w:ascii="Arial" w:cs="Arial" w:eastAsia="Arial" w:hAnsi="Arial"/>
                <w:sz w:val="13"/>
                <w:szCs w:val="13"/>
                <w:color w:val="0000FF"/>
              </w:rPr>
              <w:t>02/27/2023</w:t>
            </w:r>
          </w:p>
        </w:tc>
        <w:tc>
          <w:tcPr>
            <w:tcW w:w="1100" w:type="dxa"/>
            <w:vAlign w:val="bottom"/>
          </w:tcPr>
          <w:p>
            <w:pPr>
              <w:spacing w:after="0"/>
              <w:rPr>
                <w:sz w:val="16"/>
                <w:szCs w:val="16"/>
                <w:color w:val="auto"/>
              </w:rPr>
            </w:pPr>
          </w:p>
        </w:tc>
        <w:tc>
          <w:tcPr>
            <w:tcW w:w="58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220" w:type="dxa"/>
            <w:vAlign w:val="bottom"/>
          </w:tcPr>
          <w:p>
            <w:pPr>
              <w:spacing w:after="0"/>
              <w:rPr>
                <w:sz w:val="16"/>
                <w:szCs w:val="16"/>
                <w:color w:val="auto"/>
              </w:rPr>
            </w:pPr>
          </w:p>
        </w:tc>
        <w:tc>
          <w:tcPr>
            <w:tcW w:w="780" w:type="dxa"/>
            <w:vAlign w:val="bottom"/>
            <w:vMerge w:val="restart"/>
          </w:tcPr>
          <w:p>
            <w:pPr>
              <w:ind w:left="380"/>
              <w:spacing w:after="0"/>
              <w:rPr>
                <w:sz w:val="20"/>
                <w:szCs w:val="20"/>
                <w:color w:val="auto"/>
              </w:rPr>
            </w:pPr>
            <w:r>
              <w:rPr>
                <w:rFonts w:ascii="Arial" w:cs="Arial" w:eastAsia="Arial" w:hAnsi="Arial"/>
                <w:sz w:val="13"/>
                <w:szCs w:val="13"/>
                <w:color w:val="0000FF"/>
              </w:rPr>
              <w:t>4,188</w:t>
            </w: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(4)</w:t>
            </w:r>
          </w:p>
        </w:tc>
        <w:tc>
          <w:tcPr>
            <w:tcW w:w="720" w:type="dxa"/>
            <w:vAlign w:val="bottom"/>
            <w:vMerge w:val="restart"/>
          </w:tcPr>
          <w:p>
            <w:pPr>
              <w:jc w:val="center"/>
              <w:ind w:right="33"/>
              <w:spacing w:after="0"/>
              <w:rPr>
                <w:sz w:val="20"/>
                <w:szCs w:val="20"/>
                <w:color w:val="auto"/>
              </w:rPr>
            </w:pPr>
            <w:r>
              <w:rPr>
                <w:rFonts w:ascii="Arial" w:cs="Arial" w:eastAsia="Arial" w:hAnsi="Arial"/>
                <w:sz w:val="11"/>
                <w:szCs w:val="11"/>
                <w:color w:val="008000"/>
              </w:rPr>
              <w:t>(4)</w:t>
            </w:r>
          </w:p>
        </w:tc>
        <w:tc>
          <w:tcPr>
            <w:tcW w:w="620" w:type="dxa"/>
            <w:vAlign w:val="bottom"/>
          </w:tcPr>
          <w:p>
            <w:pPr>
              <w:ind w:left="2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4,188</w:t>
            </w:r>
          </w:p>
        </w:tc>
        <w:tc>
          <w:tcPr>
            <w:tcW w:w="140" w:type="dxa"/>
            <w:vAlign w:val="bottom"/>
          </w:tcPr>
          <w:p>
            <w:pPr>
              <w:spacing w:after="0"/>
              <w:rPr>
                <w:sz w:val="16"/>
                <w:szCs w:val="16"/>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vMerge w:val="restart"/>
          </w:tcPr>
          <w:p>
            <w:pPr>
              <w:ind w:left="320"/>
              <w:spacing w:after="0"/>
              <w:rPr>
                <w:sz w:val="20"/>
                <w:szCs w:val="20"/>
                <w:color w:val="auto"/>
              </w:rPr>
            </w:pPr>
            <w:r>
              <w:rPr>
                <w:rFonts w:ascii="Arial" w:cs="Arial" w:eastAsia="Arial" w:hAnsi="Arial"/>
                <w:sz w:val="25"/>
                <w:szCs w:val="25"/>
                <w:color w:val="0000FF"/>
                <w:vertAlign w:val="subscript"/>
              </w:rPr>
              <w:t>0</w:t>
            </w:r>
            <w:r>
              <w:rPr>
                <w:rFonts w:ascii="Arial" w:cs="Arial" w:eastAsia="Arial" w:hAnsi="Arial"/>
                <w:sz w:val="11"/>
                <w:szCs w:val="11"/>
                <w:color w:val="008000"/>
              </w:rPr>
              <w:t>(5)</w:t>
            </w:r>
          </w:p>
        </w:tc>
        <w:tc>
          <w:tcPr>
            <w:tcW w:w="280" w:type="dxa"/>
            <w:vAlign w:val="bottom"/>
          </w:tcPr>
          <w:p>
            <w:pPr>
              <w:spacing w:after="0"/>
              <w:rPr>
                <w:sz w:val="16"/>
                <w:szCs w:val="16"/>
                <w:color w:val="auto"/>
              </w:rPr>
            </w:pPr>
          </w:p>
        </w:tc>
        <w:tc>
          <w:tcPr>
            <w:tcW w:w="66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80" w:type="dxa"/>
            <w:vAlign w:val="bottom"/>
            <w:vMerge w:val="restart"/>
          </w:tcPr>
          <w:p>
            <w:pPr>
              <w:ind w:left="60"/>
              <w:spacing w:after="0"/>
              <w:rPr>
                <w:sz w:val="20"/>
                <w:szCs w:val="20"/>
                <w:color w:val="auto"/>
              </w:rPr>
            </w:pPr>
            <w:r>
              <w:rPr>
                <w:rFonts w:ascii="Arial" w:cs="Arial" w:eastAsia="Arial" w:hAnsi="Arial"/>
                <w:sz w:val="13"/>
                <w:szCs w:val="13"/>
                <w:color w:val="0000FF"/>
              </w:rPr>
              <w:t>Stock Units</w:t>
            </w:r>
          </w:p>
        </w:tc>
        <w:tc>
          <w:tcPr>
            <w:tcW w:w="7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20" w:type="dxa"/>
            <w:vAlign w:val="bottom"/>
            <w:vMerge w:val="restart"/>
          </w:tcPr>
          <w:p>
            <w:pPr>
              <w:ind w:left="8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80" w:type="dxa"/>
            <w:vAlign w:val="bottom"/>
          </w:tcPr>
          <w:p>
            <w:pPr>
              <w:ind w:left="60"/>
              <w:spacing w:after="0"/>
              <w:rPr>
                <w:sz w:val="20"/>
                <w:szCs w:val="20"/>
                <w:color w:val="auto"/>
              </w:rPr>
            </w:pPr>
            <w:r>
              <w:rPr>
                <w:rFonts w:ascii="Arial" w:cs="Arial" w:eastAsia="Arial" w:hAnsi="Arial"/>
                <w:sz w:val="13"/>
                <w:szCs w:val="13"/>
                <w:color w:val="0000FF"/>
                <w:w w:val="94"/>
              </w:rPr>
              <w:t>Performance</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1080" w:type="dxa"/>
            <w:vAlign w:val="bottom"/>
            <w:vMerge w:val="restart"/>
          </w:tcPr>
          <w:p>
            <w:pPr>
              <w:jc w:val="right"/>
              <w:ind w:right="176"/>
              <w:spacing w:after="0"/>
              <w:rPr>
                <w:sz w:val="20"/>
                <w:szCs w:val="20"/>
                <w:color w:val="auto"/>
              </w:rPr>
            </w:pPr>
            <w:r>
              <w:rPr>
                <w:rFonts w:ascii="Arial" w:cs="Arial" w:eastAsia="Arial" w:hAnsi="Arial"/>
                <w:sz w:val="13"/>
                <w:szCs w:val="13"/>
                <w:color w:val="0000FF"/>
              </w:rPr>
              <w:t>02/27/2023</w:t>
            </w:r>
          </w:p>
        </w:tc>
        <w:tc>
          <w:tcPr>
            <w:tcW w:w="1100" w:type="dxa"/>
            <w:vAlign w:val="bottom"/>
          </w:tcPr>
          <w:p>
            <w:pPr>
              <w:spacing w:after="0"/>
              <w:rPr>
                <w:sz w:val="16"/>
                <w:szCs w:val="16"/>
                <w:color w:val="auto"/>
              </w:rPr>
            </w:pPr>
          </w:p>
        </w:tc>
        <w:tc>
          <w:tcPr>
            <w:tcW w:w="58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220" w:type="dxa"/>
            <w:vAlign w:val="bottom"/>
          </w:tcPr>
          <w:p>
            <w:pPr>
              <w:spacing w:after="0"/>
              <w:rPr>
                <w:sz w:val="16"/>
                <w:szCs w:val="16"/>
                <w:color w:val="auto"/>
              </w:rPr>
            </w:pPr>
          </w:p>
        </w:tc>
        <w:tc>
          <w:tcPr>
            <w:tcW w:w="780" w:type="dxa"/>
            <w:vAlign w:val="bottom"/>
            <w:vMerge w:val="restart"/>
          </w:tcPr>
          <w:p>
            <w:pPr>
              <w:ind w:left="380"/>
              <w:spacing w:after="0"/>
              <w:rPr>
                <w:sz w:val="20"/>
                <w:szCs w:val="20"/>
                <w:color w:val="auto"/>
              </w:rPr>
            </w:pPr>
            <w:r>
              <w:rPr>
                <w:rFonts w:ascii="Arial" w:cs="Arial" w:eastAsia="Arial" w:hAnsi="Arial"/>
                <w:sz w:val="13"/>
                <w:szCs w:val="13"/>
                <w:color w:val="0000FF"/>
              </w:rPr>
              <w:t>1,761</w:t>
            </w: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(6)</w:t>
            </w:r>
          </w:p>
        </w:tc>
        <w:tc>
          <w:tcPr>
            <w:tcW w:w="720" w:type="dxa"/>
            <w:vAlign w:val="bottom"/>
            <w:vMerge w:val="restart"/>
          </w:tcPr>
          <w:p>
            <w:pPr>
              <w:jc w:val="center"/>
              <w:ind w:right="33"/>
              <w:spacing w:after="0"/>
              <w:rPr>
                <w:sz w:val="20"/>
                <w:szCs w:val="20"/>
                <w:color w:val="auto"/>
              </w:rPr>
            </w:pPr>
            <w:r>
              <w:rPr>
                <w:rFonts w:ascii="Arial" w:cs="Arial" w:eastAsia="Arial" w:hAnsi="Arial"/>
                <w:sz w:val="11"/>
                <w:szCs w:val="11"/>
                <w:color w:val="008000"/>
              </w:rPr>
              <w:t>(6)</w:t>
            </w:r>
          </w:p>
        </w:tc>
        <w:tc>
          <w:tcPr>
            <w:tcW w:w="620" w:type="dxa"/>
            <w:vAlign w:val="bottom"/>
          </w:tcPr>
          <w:p>
            <w:pPr>
              <w:ind w:left="2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1,761</w:t>
            </w:r>
          </w:p>
        </w:tc>
        <w:tc>
          <w:tcPr>
            <w:tcW w:w="140" w:type="dxa"/>
            <w:vAlign w:val="bottom"/>
          </w:tcPr>
          <w:p>
            <w:pPr>
              <w:spacing w:after="0"/>
              <w:rPr>
                <w:sz w:val="16"/>
                <w:szCs w:val="16"/>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vMerge w:val="restart"/>
          </w:tcPr>
          <w:p>
            <w:pPr>
              <w:ind w:left="320"/>
              <w:spacing w:after="0"/>
              <w:rPr>
                <w:sz w:val="20"/>
                <w:szCs w:val="20"/>
                <w:color w:val="auto"/>
              </w:rPr>
            </w:pPr>
            <w:r>
              <w:rPr>
                <w:rFonts w:ascii="Arial" w:cs="Arial" w:eastAsia="Arial" w:hAnsi="Arial"/>
                <w:sz w:val="25"/>
                <w:szCs w:val="25"/>
                <w:color w:val="0000FF"/>
                <w:vertAlign w:val="subscript"/>
              </w:rPr>
              <w:t>0</w:t>
            </w:r>
            <w:r>
              <w:rPr>
                <w:rFonts w:ascii="Arial" w:cs="Arial" w:eastAsia="Arial" w:hAnsi="Arial"/>
                <w:sz w:val="11"/>
                <w:szCs w:val="11"/>
                <w:color w:val="008000"/>
              </w:rPr>
              <w:t>(5)</w:t>
            </w:r>
          </w:p>
        </w:tc>
        <w:tc>
          <w:tcPr>
            <w:tcW w:w="280" w:type="dxa"/>
            <w:vAlign w:val="bottom"/>
          </w:tcPr>
          <w:p>
            <w:pPr>
              <w:spacing w:after="0"/>
              <w:rPr>
                <w:sz w:val="16"/>
                <w:szCs w:val="16"/>
                <w:color w:val="auto"/>
              </w:rPr>
            </w:pPr>
          </w:p>
        </w:tc>
        <w:tc>
          <w:tcPr>
            <w:tcW w:w="66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80" w:type="dxa"/>
            <w:vAlign w:val="bottom"/>
            <w:vMerge w:val="restart"/>
          </w:tcPr>
          <w:p>
            <w:pPr>
              <w:ind w:left="60"/>
              <w:spacing w:after="0"/>
              <w:rPr>
                <w:sz w:val="20"/>
                <w:szCs w:val="20"/>
                <w:color w:val="auto"/>
              </w:rPr>
            </w:pPr>
            <w:r>
              <w:rPr>
                <w:rFonts w:ascii="Arial" w:cs="Arial" w:eastAsia="Arial" w:hAnsi="Arial"/>
                <w:sz w:val="13"/>
                <w:szCs w:val="13"/>
                <w:color w:val="0000FF"/>
              </w:rPr>
              <w:t>Stock Units</w:t>
            </w:r>
          </w:p>
        </w:tc>
        <w:tc>
          <w:tcPr>
            <w:tcW w:w="7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20" w:type="dxa"/>
            <w:vAlign w:val="bottom"/>
            <w:vMerge w:val="restart"/>
          </w:tcPr>
          <w:p>
            <w:pPr>
              <w:ind w:left="8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-2263775</wp:posOffset>
            </wp:positionV>
            <wp:extent cx="29210" cy="22688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26885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had vested performance stock units (PSUs) settled in ordinary shares of LivaNova PLC (the Company), GBP 1.00 par value.</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referenced shares were withheld from distribution at the request of reporting person to satisfy tax liability.</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performance stock unit (PSU) represents a contingent right to receive one ordinary share of the Company in accordance with the terms of the Plan and the award agreement.</w:t>
      </w:r>
    </w:p>
    <w:p>
      <w:pPr>
        <w:spacing w:after="0" w:line="43" w:lineRule="exact"/>
        <w:rPr>
          <w:rFonts w:ascii="Arial" w:cs="Arial" w:eastAsia="Arial" w:hAnsi="Arial"/>
          <w:sz w:val="13"/>
          <w:szCs w:val="13"/>
          <w:color w:val="008000"/>
        </w:rPr>
      </w:pPr>
    </w:p>
    <w:p>
      <w:pPr>
        <w:ind w:left="40" w:right="38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30, 2020, the reporting person was granted 5,737 PSUs that would vest upon the filing of the Company's 2022 Form 10-K for the fiscal year ending December 31, 2022. The vesting of the PSUs depended on the Company's performance against a target of the relative total shareholder return (r-TSR) for fiscal years 2020, 2021, and 2022, compared to our peer companies. The Company's performance achieved a result of 73%, and the actual number of vested shares is presented as the quantity that was acquired.</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number reflects the number of derivative securities beneficially owned following reported transaction for this specific grant.</w:t>
      </w:r>
    </w:p>
    <w:p>
      <w:pPr>
        <w:spacing w:after="0" w:line="43" w:lineRule="exact"/>
        <w:rPr>
          <w:rFonts w:ascii="Arial" w:cs="Arial" w:eastAsia="Arial" w:hAnsi="Arial"/>
          <w:sz w:val="13"/>
          <w:szCs w:val="13"/>
          <w:color w:val="008000"/>
        </w:rPr>
      </w:pPr>
    </w:p>
    <w:p>
      <w:pPr>
        <w:jc w:val="both"/>
        <w:ind w:left="40" w:right="32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30, 2020, the reporting person received a grant of 5,737 PSUs which were subject to vesting upon the filing of the Company's 2022 Form 10-K for the fiscal year ending December 31, 2022. The number of PSUs that vested was the result of the Company's performance against a target related to Adjusted Free Cash Flow for fiscal years 2020, 2021, and 2022. The performance achieved was 30.7%, and the actual number of vested shares is presented as the quantity that was acquired.</w:t>
      </w:r>
    </w:p>
    <w:p>
      <w:pPr>
        <w:spacing w:after="0" w:line="2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Arial" w:cs="Arial" w:eastAsia="Arial" w:hAnsi="Arial"/>
                <w:sz w:val="17"/>
                <w:szCs w:val="17"/>
                <w:color w:val="0000FF"/>
              </w:rPr>
              <w:t>/s/ Sarah K. Mohr, POA</w:t>
            </w:r>
          </w:p>
        </w:tc>
        <w:tc>
          <w:tcPr>
            <w:tcW w:w="760" w:type="dxa"/>
            <w:vAlign w:val="bottom"/>
          </w:tcPr>
          <w:p>
            <w:pPr>
              <w:spacing w:after="0"/>
              <w:rPr>
                <w:sz w:val="20"/>
                <w:szCs w:val="20"/>
                <w:color w:val="auto"/>
              </w:rPr>
            </w:pPr>
            <w:r>
              <w:rPr>
                <w:rFonts w:ascii="Arial" w:cs="Arial" w:eastAsia="Arial" w:hAnsi="Arial"/>
                <w:sz w:val="17"/>
                <w:szCs w:val="17"/>
                <w:color w:val="0000FF"/>
                <w:w w:val="86"/>
              </w:rPr>
              <w:t>03/01/2023</w:t>
            </w:r>
          </w:p>
        </w:tc>
      </w:tr>
      <w:tr>
        <w:trPr>
          <w:trHeight w:val="20"/>
        </w:trPr>
        <w:tc>
          <w:tcPr>
            <w:tcW w:w="16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1" w:right="359" w:bottom="144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19"/>
          <w:szCs w:val="19"/>
          <w:b w:val="1"/>
          <w:bCs w:val="1"/>
          <w:u w:val="single" w:color="auto"/>
          <w:color w:val="auto"/>
        </w:rPr>
        <w:t>POWER OF ATTORNEY</w:t>
      </w:r>
    </w:p>
    <w:p>
      <w:pPr>
        <w:spacing w:after="0" w:line="213" w:lineRule="exact"/>
        <w:rPr>
          <w:sz w:val="20"/>
          <w:szCs w:val="20"/>
          <w:color w:val="auto"/>
        </w:rPr>
      </w:pPr>
    </w:p>
    <w:p>
      <w:pPr>
        <w:ind w:right="200" w:firstLine="619"/>
        <w:spacing w:after="0" w:line="296" w:lineRule="auto"/>
        <w:rPr>
          <w:sz w:val="20"/>
          <w:szCs w:val="20"/>
          <w:color w:val="auto"/>
        </w:rPr>
      </w:pPr>
      <w:r>
        <w:rPr>
          <w:rFonts w:ascii="Arial" w:cs="Arial" w:eastAsia="Arial" w:hAnsi="Arial"/>
          <w:sz w:val="19"/>
          <w:szCs w:val="19"/>
          <w:color w:val="auto"/>
        </w:rPr>
        <w:t>Know all by these presents, that the undersigned hereby constitutes and appoints each of (i) the General Counsel of LivaNova PLC, a public limited company organized under the laws of England and Wales (the “Company”), who is currently Keyna Skeffington and the Company’s internal counsel who is currently Sarah K. Mohr, and their respective successors, signing singly, the undersigned’s true and lawful attorney-in-fact to:</w:t>
      </w:r>
    </w:p>
    <w:p>
      <w:pPr>
        <w:spacing w:after="0" w:line="134" w:lineRule="exact"/>
        <w:rPr>
          <w:sz w:val="20"/>
          <w:szCs w:val="20"/>
          <w:color w:val="auto"/>
        </w:rPr>
      </w:pPr>
    </w:p>
    <w:p>
      <w:pPr>
        <w:ind w:left="1240" w:right="20" w:hanging="618"/>
        <w:spacing w:after="0" w:line="325" w:lineRule="auto"/>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 director or officer of the Company, Forms 3 and 4 (including amendments thereto) in accordance with Section 16(a) of the Securities Exchange Act of 1934 and the rules and regulations thereunder and a Form ID, Uniform Application for Access Codes to File on EDGAR;</w:t>
      </w:r>
    </w:p>
    <w:p>
      <w:pPr>
        <w:spacing w:after="0" w:line="113" w:lineRule="exact"/>
        <w:rPr>
          <w:rFonts w:ascii="Arial" w:cs="Arial" w:eastAsia="Arial" w:hAnsi="Arial"/>
          <w:sz w:val="18"/>
          <w:szCs w:val="18"/>
          <w:color w:val="auto"/>
        </w:rPr>
      </w:pPr>
    </w:p>
    <w:p>
      <w:pPr>
        <w:ind w:left="1240" w:right="20" w:hanging="618"/>
        <w:spacing w:after="0" w:line="325" w:lineRule="auto"/>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executed any such Forms 3 or 4 or Form ID and timely file such forms (including amendments thereto) and application with the United States Securities and Exchange Commission and any stock exchange or similar authority; and</w:t>
      </w:r>
    </w:p>
    <w:p>
      <w:pPr>
        <w:spacing w:after="0" w:line="113" w:lineRule="exact"/>
        <w:rPr>
          <w:rFonts w:ascii="Arial" w:cs="Arial" w:eastAsia="Arial" w:hAnsi="Arial"/>
          <w:sz w:val="18"/>
          <w:szCs w:val="18"/>
          <w:color w:val="auto"/>
        </w:rPr>
      </w:pPr>
    </w:p>
    <w:p>
      <w:pPr>
        <w:ind w:left="1240" w:right="280" w:hanging="618"/>
        <w:spacing w:after="0" w:line="324" w:lineRule="auto"/>
        <w:tabs>
          <w:tab w:leader="none" w:pos="12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w:t>
      </w:r>
    </w:p>
    <w:p>
      <w:pPr>
        <w:ind w:left="1240" w:right="340"/>
        <w:spacing w:after="0" w:line="371" w:lineRule="auto"/>
        <w:rPr>
          <w:rFonts w:ascii="Arial" w:cs="Arial" w:eastAsia="Arial" w:hAnsi="Arial"/>
          <w:sz w:val="17"/>
          <w:szCs w:val="17"/>
          <w:color w:val="auto"/>
        </w:rPr>
      </w:pPr>
      <w:r>
        <w:rPr>
          <w:rFonts w:ascii="Arial" w:cs="Arial" w:eastAsia="Arial" w:hAnsi="Arial"/>
          <w:sz w:val="17"/>
          <w:szCs w:val="17"/>
          <w:color w:val="auto"/>
        </w:rPr>
        <w:t>executed by such attorney-in-fact on behalf of the undersigned pursuant to this Power of Attorney shall be in such form and shall contain such terms and conditions as such attorney-in-fact may approve in such attorney-in-fact’s discretion.</w:t>
      </w:r>
    </w:p>
    <w:p>
      <w:pPr>
        <w:spacing w:after="0" w:line="79" w:lineRule="exact"/>
        <w:rPr>
          <w:sz w:val="20"/>
          <w:szCs w:val="20"/>
          <w:color w:val="auto"/>
        </w:rPr>
      </w:pPr>
    </w:p>
    <w:p>
      <w:pPr>
        <w:ind w:right="260" w:firstLine="619"/>
        <w:spacing w:after="0" w:line="310"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27" w:lineRule="exact"/>
        <w:rPr>
          <w:sz w:val="20"/>
          <w:szCs w:val="20"/>
          <w:color w:val="auto"/>
        </w:rPr>
      </w:pPr>
    </w:p>
    <w:p>
      <w:pPr>
        <w:ind w:firstLine="619"/>
        <w:spacing w:after="0" w:line="289" w:lineRule="auto"/>
        <w:rPr>
          <w:sz w:val="20"/>
          <w:szCs w:val="20"/>
          <w:color w:val="auto"/>
        </w:rPr>
      </w:pPr>
      <w:r>
        <w:rPr>
          <w:rFonts w:ascii="Arial" w:cs="Arial" w:eastAsia="Arial" w:hAnsi="Arial"/>
          <w:sz w:val="19"/>
          <w:szCs w:val="19"/>
          <w:color w:val="auto"/>
        </w:rPr>
        <w:t>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attorney-in-fact for purposes of executing, acknowledging, delivering or filing Forms 3 or 4 (including amendments thereto) or Form ID and agrees to reimburse the Company and such attorney-in-fact for any legal or other expenses reasonably incurred in connection with investigating or defending against any such loss, claim, damage, liability or action.</w:t>
      </w:r>
    </w:p>
    <w:p>
      <w:pPr>
        <w:spacing w:after="0" w:line="144" w:lineRule="exact"/>
        <w:rPr>
          <w:sz w:val="20"/>
          <w:szCs w:val="20"/>
          <w:color w:val="auto"/>
        </w:rPr>
      </w:pPr>
    </w:p>
    <w:p>
      <w:pPr>
        <w:ind w:firstLine="619"/>
        <w:spacing w:after="0" w:line="352" w:lineRule="auto"/>
        <w:rPr>
          <w:sz w:val="20"/>
          <w:szCs w:val="20"/>
          <w:color w:val="auto"/>
        </w:rPr>
      </w:pPr>
      <w:r>
        <w:rPr>
          <w:rFonts w:ascii="Arial" w:cs="Arial" w:eastAsia="Arial" w:hAnsi="Arial"/>
          <w:sz w:val="18"/>
          <w:szCs w:val="18"/>
          <w:color w:val="auto"/>
        </w:rPr>
        <w:t>This Power of Attorney supersedes any power of attorney previously executed by the undersigned regarding the purposes outlined in the first paragraph hereof, and the authority of the attorneys-in-fact named in any such power of attorney is hereby revoked.</w:t>
      </w:r>
    </w:p>
    <w:p>
      <w:pPr>
        <w:spacing w:after="0" w:line="89" w:lineRule="exact"/>
        <w:rPr>
          <w:sz w:val="20"/>
          <w:szCs w:val="20"/>
          <w:color w:val="auto"/>
        </w:rPr>
      </w:pPr>
    </w:p>
    <w:p>
      <w:pPr>
        <w:ind w:right="80" w:firstLine="619"/>
        <w:spacing w:after="0" w:line="296" w:lineRule="auto"/>
        <w:rPr>
          <w:sz w:val="20"/>
          <w:szCs w:val="20"/>
          <w:color w:val="auto"/>
        </w:rPr>
      </w:pPr>
      <w:r>
        <w:rPr>
          <w:rFonts w:ascii="Arial" w:cs="Arial" w:eastAsia="Arial" w:hAnsi="Arial"/>
          <w:sz w:val="19"/>
          <w:szCs w:val="19"/>
          <w:color w:val="auto"/>
        </w:rPr>
        <w:t>This Power of Attorney shall remain in full force and effect until the undersigned is no longer required to file Forms 3 or 4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the first paragraph hereof dated as of a later date.</w:t>
      </w:r>
    </w:p>
    <w:p>
      <w:pPr>
        <w:spacing w:after="0" w:line="13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IN WITNESS WHEREOF, the undersigned has caused this Power of Attorney to be executed as of this 20th day of December 2019.</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960"/>
        <w:spacing w:after="0"/>
        <w:rPr>
          <w:sz w:val="20"/>
          <w:szCs w:val="20"/>
          <w:color w:val="auto"/>
        </w:rPr>
      </w:pPr>
      <w:r>
        <w:rPr>
          <w:rFonts w:ascii="Arial" w:cs="Arial" w:eastAsia="Arial" w:hAnsi="Arial"/>
          <w:sz w:val="19"/>
          <w:szCs w:val="19"/>
          <w:color w:val="auto"/>
        </w:rPr>
        <w:t>/s/ Marco Dolci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3146425</wp:posOffset>
            </wp:positionH>
            <wp:positionV relativeFrom="paragraph">
              <wp:posOffset>-12700</wp:posOffset>
            </wp:positionV>
            <wp:extent cx="12331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33170" cy="8255"/>
                    </a:xfrm>
                    <a:prstGeom prst="rect">
                      <a:avLst/>
                    </a:prstGeom>
                    <a:noFill/>
                  </pic:spPr>
                </pic:pic>
              </a:graphicData>
            </a:graphic>
          </wp:anchor>
        </w:drawing>
      </w:r>
    </w:p>
    <w:p>
      <w:pPr>
        <w:spacing w:after="0" w:line="2" w:lineRule="exact"/>
        <w:rPr>
          <w:sz w:val="20"/>
          <w:szCs w:val="20"/>
          <w:color w:val="auto"/>
        </w:rPr>
      </w:pPr>
    </w:p>
    <w:p>
      <w:pPr>
        <w:ind w:left="4960"/>
        <w:spacing w:after="0"/>
        <w:rPr>
          <w:sz w:val="20"/>
          <w:szCs w:val="20"/>
          <w:color w:val="auto"/>
        </w:rPr>
      </w:pPr>
      <w:r>
        <w:rPr>
          <w:rFonts w:ascii="Arial" w:cs="Arial" w:eastAsia="Arial" w:hAnsi="Arial"/>
          <w:sz w:val="19"/>
          <w:szCs w:val="19"/>
          <w:color w:val="auto"/>
        </w:rPr>
        <w:t>Marco Dolci</w:t>
      </w:r>
    </w:p>
    <w:sectPr>
      <w:pgSz w:w="11900" w:h="16838" w:orient="portrait"/>
      <w:cols w:equalWidth="0" w:num="1">
        <w:col w:w="10940"/>
      </w:cols>
      <w:pgMar w:left="460" w:top="349"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798597"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2023-03-01T21:37:24Z</dcterms:created>
  <dcterms:modified xsi:type="dcterms:W3CDTF">2023-03-01T21:37:24Z</dcterms:modified>
</cp:coreProperties>
</file>