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0"/>
        <w:spacing w:after="0"/>
        <w:tabs>
          <w:tab w:leader="none" w:pos="5060" w:val="left"/>
          <w:tab w:leader="none" w:pos="570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tab/>
        <w:t>Page 1 of 14</w:t>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ind w:left="3780"/>
        <w:spacing w:after="0"/>
        <w:rPr>
          <w:sz w:val="20"/>
          <w:szCs w:val="20"/>
          <w:color w:val="auto"/>
        </w:rPr>
      </w:pPr>
      <w:r>
        <w:rPr>
          <w:rFonts w:ascii="Courier New" w:cs="Courier New" w:eastAsia="Courier New" w:hAnsi="Courier New"/>
          <w:sz w:val="18"/>
          <w:szCs w:val="18"/>
          <w:color w:val="auto"/>
        </w:rPr>
        <w:t>UNITED STATES</w:t>
      </w:r>
    </w:p>
    <w:p>
      <w:pPr>
        <w:spacing w:after="0" w:line="26" w:lineRule="exact"/>
        <w:rPr>
          <w:sz w:val="24"/>
          <w:szCs w:val="24"/>
          <w:color w:val="auto"/>
        </w:rPr>
      </w:pPr>
    </w:p>
    <w:p>
      <w:pPr>
        <w:ind w:left="27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6" w:lineRule="exact"/>
        <w:rPr>
          <w:sz w:val="24"/>
          <w:szCs w:val="24"/>
          <w:color w:val="auto"/>
        </w:rPr>
      </w:pPr>
    </w:p>
    <w:p>
      <w:pPr>
        <w:ind w:left="3320"/>
        <w:spacing w:after="0"/>
        <w:rPr>
          <w:sz w:val="20"/>
          <w:szCs w:val="20"/>
          <w:color w:val="auto"/>
        </w:rPr>
      </w:pPr>
      <w:r>
        <w:rPr>
          <w:rFonts w:ascii="Courier New" w:cs="Courier New" w:eastAsia="Courier New" w:hAnsi="Courier New"/>
          <w:sz w:val="18"/>
          <w:szCs w:val="18"/>
          <w:color w:val="auto"/>
        </w:rPr>
        <w:t>Washington, D.C. 20549</w:t>
      </w:r>
    </w:p>
    <w:p>
      <w:pPr>
        <w:spacing w:after="0" w:line="28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SCHEDULE 13G</w:t>
      </w:r>
    </w:p>
    <w:p>
      <w:pPr>
        <w:spacing w:after="0" w:line="296" w:lineRule="exact"/>
        <w:rPr>
          <w:sz w:val="24"/>
          <w:szCs w:val="24"/>
          <w:color w:val="auto"/>
        </w:rPr>
      </w:pPr>
    </w:p>
    <w:p>
      <w:pPr>
        <w:ind w:left="226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6" w:lineRule="exact"/>
        <w:rPr>
          <w:sz w:val="24"/>
          <w:szCs w:val="24"/>
          <w:color w:val="auto"/>
        </w:rPr>
      </w:pPr>
    </w:p>
    <w:p>
      <w:pPr>
        <w:ind w:left="3460"/>
        <w:spacing w:after="0"/>
        <w:rPr>
          <w:sz w:val="20"/>
          <w:szCs w:val="20"/>
          <w:color w:val="auto"/>
        </w:rPr>
      </w:pPr>
      <w:r>
        <w:rPr>
          <w:rFonts w:ascii="Courier New" w:cs="Courier New" w:eastAsia="Courier New" w:hAnsi="Courier New"/>
          <w:sz w:val="18"/>
          <w:szCs w:val="18"/>
          <w:color w:val="auto"/>
        </w:rPr>
        <w:t>(Amendment No. )*</w:t>
      </w:r>
    </w:p>
    <w:p>
      <w:pPr>
        <w:spacing w:after="0" w:line="336"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LivaNova PLC</w:t>
      </w:r>
    </w:p>
    <w:p>
      <w:pPr>
        <w:spacing w:after="0" w:line="12" w:lineRule="exact"/>
        <w:rPr>
          <w:sz w:val="24"/>
          <w:szCs w:val="24"/>
          <w:color w:val="auto"/>
        </w:rPr>
      </w:pPr>
    </w:p>
    <w:p>
      <w:pPr>
        <w:ind w:left="350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58" w:lineRule="exact"/>
        <w:rPr>
          <w:sz w:val="24"/>
          <w:szCs w:val="24"/>
          <w:color w:val="auto"/>
        </w:rPr>
      </w:pPr>
    </w:p>
    <w:p>
      <w:pPr>
        <w:ind w:left="2160"/>
        <w:spacing w:after="0"/>
        <w:rPr>
          <w:sz w:val="20"/>
          <w:szCs w:val="20"/>
          <w:color w:val="auto"/>
        </w:rPr>
      </w:pPr>
      <w:r>
        <w:rPr>
          <w:rFonts w:ascii="Courier New" w:cs="Courier New" w:eastAsia="Courier New" w:hAnsi="Courier New"/>
          <w:sz w:val="18"/>
          <w:szCs w:val="18"/>
          <w:color w:val="auto"/>
        </w:rPr>
        <w:t>Ordinary Shares — £1.00 par value per share</w:t>
      </w:r>
    </w:p>
    <w:p>
      <w:pPr>
        <w:spacing w:after="0" w:line="12" w:lineRule="exact"/>
        <w:rPr>
          <w:sz w:val="24"/>
          <w:szCs w:val="24"/>
          <w:color w:val="auto"/>
        </w:rPr>
      </w:pPr>
    </w:p>
    <w:p>
      <w:pPr>
        <w:ind w:left="2800"/>
        <w:spacing w:after="0"/>
        <w:rPr>
          <w:sz w:val="20"/>
          <w:szCs w:val="20"/>
          <w:color w:val="auto"/>
        </w:rPr>
      </w:pPr>
      <w:r>
        <w:rPr>
          <w:rFonts w:ascii="Courier New" w:cs="Courier New" w:eastAsia="Courier New" w:hAnsi="Courier New"/>
          <w:sz w:val="18"/>
          <w:szCs w:val="18"/>
          <w:color w:val="auto"/>
        </w:rPr>
        <w:t>(Title of Class of Securities)</w:t>
      </w:r>
    </w:p>
    <w:p>
      <w:pPr>
        <w:spacing w:after="0" w:line="323" w:lineRule="exact"/>
        <w:rPr>
          <w:sz w:val="24"/>
          <w:szCs w:val="24"/>
          <w:color w:val="auto"/>
        </w:rPr>
      </w:pPr>
    </w:p>
    <w:p>
      <w:pPr>
        <w:ind w:left="3860"/>
        <w:spacing w:after="0"/>
        <w:rPr>
          <w:sz w:val="20"/>
          <w:szCs w:val="20"/>
          <w:color w:val="auto"/>
        </w:rPr>
      </w:pPr>
      <w:r>
        <w:rPr>
          <w:rFonts w:ascii="Courier New" w:cs="Courier New" w:eastAsia="Courier New" w:hAnsi="Courier New"/>
          <w:sz w:val="18"/>
          <w:szCs w:val="18"/>
          <w:color w:val="auto"/>
        </w:rPr>
        <w:t>G5509L101</w:t>
      </w:r>
    </w:p>
    <w:p>
      <w:pPr>
        <w:spacing w:after="0" w:line="26" w:lineRule="exact"/>
        <w:rPr>
          <w:sz w:val="24"/>
          <w:szCs w:val="24"/>
          <w:color w:val="auto"/>
        </w:rPr>
      </w:pPr>
    </w:p>
    <w:p>
      <w:pPr>
        <w:ind w:left="3600"/>
        <w:spacing w:after="0"/>
        <w:rPr>
          <w:sz w:val="20"/>
          <w:szCs w:val="20"/>
          <w:color w:val="auto"/>
        </w:rPr>
      </w:pPr>
      <w:r>
        <w:rPr>
          <w:rFonts w:ascii="Courier New" w:cs="Courier New" w:eastAsia="Courier New" w:hAnsi="Courier New"/>
          <w:sz w:val="18"/>
          <w:szCs w:val="18"/>
          <w:color w:val="auto"/>
        </w:rPr>
        <w:t>(CUSIP Number)</w:t>
      </w:r>
    </w:p>
    <w:p>
      <w:pPr>
        <w:spacing w:after="0" w:line="390" w:lineRule="exact"/>
        <w:rPr>
          <w:sz w:val="24"/>
          <w:szCs w:val="24"/>
          <w:color w:val="auto"/>
        </w:rPr>
      </w:pPr>
    </w:p>
    <w:p>
      <w:pPr>
        <w:ind w:left="3460"/>
        <w:spacing w:after="0"/>
        <w:rPr>
          <w:sz w:val="20"/>
          <w:szCs w:val="20"/>
          <w:color w:val="auto"/>
        </w:rPr>
      </w:pPr>
      <w:r>
        <w:rPr>
          <w:rFonts w:ascii="Courier New" w:cs="Courier New" w:eastAsia="Courier New" w:hAnsi="Courier New"/>
          <w:sz w:val="18"/>
          <w:szCs w:val="18"/>
          <w:color w:val="auto"/>
        </w:rPr>
        <w:t>December 31, 2016</w:t>
      </w:r>
    </w:p>
    <w:p>
      <w:pPr>
        <w:spacing w:after="0" w:line="107" w:lineRule="exact"/>
        <w:rPr>
          <w:sz w:val="24"/>
          <w:szCs w:val="24"/>
          <w:color w:val="auto"/>
        </w:rPr>
      </w:pPr>
    </w:p>
    <w:p>
      <w:pPr>
        <w:ind w:left="15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5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311" w:lineRule="exact"/>
        <w:rPr>
          <w:sz w:val="24"/>
          <w:szCs w:val="24"/>
          <w:color w:val="auto"/>
        </w:rPr>
      </w:pPr>
    </w:p>
    <w:p>
      <w:pPr>
        <w:jc w:val="both"/>
        <w:ind w:right="8179" w:firstLine="8"/>
        <w:spacing w:after="0" w:line="221" w:lineRule="exact"/>
        <w:tabs>
          <w:tab w:leader="none" w:pos="4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1(c)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1(d)</w:t>
      </w:r>
    </w:p>
    <w:p>
      <w:pPr>
        <w:spacing w:after="0" w:line="164" w:lineRule="exact"/>
        <w:rPr>
          <w:sz w:val="24"/>
          <w:szCs w:val="24"/>
          <w:color w:val="auto"/>
        </w:rPr>
      </w:pPr>
    </w:p>
    <w:p>
      <w:pPr>
        <w:ind w:right="399"/>
        <w:spacing w:after="0" w:line="269"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9" w:lineRule="exact"/>
        <w:rPr>
          <w:sz w:val="24"/>
          <w:szCs w:val="24"/>
          <w:color w:val="auto"/>
        </w:rPr>
      </w:pPr>
    </w:p>
    <w:p>
      <w:pPr>
        <w:jc w:val="both"/>
        <w:ind w:right="619"/>
        <w:spacing w:after="0" w:line="269"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-123190</wp:posOffset>
            </wp:positionH>
            <wp:positionV relativeFrom="paragraph">
              <wp:posOffset>292735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019"/>
          </w:cols>
          <w:pgMar w:left="440" w:top="744" w:right="1440" w:bottom="1440" w:gutter="0" w:footer="0" w:header="0"/>
        </w:sectPr>
      </w:pPr>
    </w:p>
    <w:bookmarkStart w:id="1" w:name="page2"/>
    <w:bookmarkEnd w:id="1"/>
    <w:p>
      <w:pPr>
        <w:spacing w:after="0"/>
        <w:tabs>
          <w:tab w:leader="none" w:pos="4960" w:val="left"/>
          <w:tab w:leader="none" w:pos="560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tab/>
        <w:t>Page 2 of 14</w:t>
      </w:r>
    </w:p>
    <w:p>
      <w:pPr>
        <w:spacing w:after="0" w:line="379" w:lineRule="exact"/>
        <w:rPr>
          <w:sz w:val="20"/>
          <w:szCs w:val="20"/>
          <w:color w:val="auto"/>
        </w:rPr>
      </w:pPr>
    </w:p>
    <w:p>
      <w:pPr>
        <w:ind w:left="800" w:right="6139" w:hanging="592"/>
        <w:spacing w:after="0" w:line="379" w:lineRule="auto"/>
        <w:tabs>
          <w:tab w:leader="none" w:pos="84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Resources, Inc.</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43" w:lineRule="exact"/>
        <w:rPr>
          <w:rFonts w:ascii="Courier New" w:cs="Courier New" w:eastAsia="Courier New" w:hAnsi="Courier New"/>
          <w:sz w:val="18"/>
          <w:szCs w:val="18"/>
          <w:color w:val="auto"/>
        </w:rPr>
      </w:pPr>
    </w:p>
    <w:p>
      <w:pPr>
        <w:ind w:left="800" w:right="5179" w:hanging="592"/>
        <w:spacing w:after="0" w:line="379" w:lineRule="auto"/>
        <w:tabs>
          <w:tab w:leader="none" w:pos="8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24"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30" w:lineRule="exact"/>
        <w:rPr>
          <w:sz w:val="20"/>
          <w:szCs w:val="20"/>
          <w:color w:val="auto"/>
        </w:rPr>
      </w:pPr>
    </w:p>
    <w:p>
      <w:pPr>
        <w:ind w:left="800" w:right="7219" w:hanging="592"/>
        <w:spacing w:after="0" w:line="395"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4" w:lineRule="exact"/>
        <w:rPr>
          <w:rFonts w:ascii="Courier New" w:cs="Courier New" w:eastAsia="Courier New" w:hAnsi="Courier New"/>
          <w:sz w:val="18"/>
          <w:szCs w:val="18"/>
          <w:color w:val="auto"/>
        </w:rPr>
      </w:pPr>
    </w:p>
    <w:p>
      <w:pPr>
        <w:ind w:left="800" w:right="7019" w:hanging="592"/>
        <w:spacing w:after="0" w:line="395"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4" w:lineRule="exact"/>
        <w:rPr>
          <w:rFonts w:ascii="Courier New" w:cs="Courier New" w:eastAsia="Courier New" w:hAnsi="Courier New"/>
          <w:sz w:val="18"/>
          <w:szCs w:val="18"/>
          <w:color w:val="auto"/>
        </w:rPr>
      </w:pPr>
    </w:p>
    <w:p>
      <w:pPr>
        <w:ind w:left="800" w:right="6679" w:hanging="592"/>
        <w:spacing w:after="0" w:line="395"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4" w:lineRule="exact"/>
        <w:rPr>
          <w:rFonts w:ascii="Courier New" w:cs="Courier New" w:eastAsia="Courier New" w:hAnsi="Courier New"/>
          <w:sz w:val="18"/>
          <w:szCs w:val="18"/>
          <w:color w:val="auto"/>
        </w:rPr>
      </w:pPr>
    </w:p>
    <w:p>
      <w:pPr>
        <w:ind w:left="800" w:right="6479" w:hanging="592"/>
        <w:spacing w:after="0" w:line="395"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4" w:lineRule="exact"/>
        <w:rPr>
          <w:rFonts w:ascii="Courier New" w:cs="Courier New" w:eastAsia="Courier New" w:hAnsi="Courier New"/>
          <w:sz w:val="18"/>
          <w:szCs w:val="18"/>
          <w:color w:val="auto"/>
        </w:rPr>
      </w:pPr>
    </w:p>
    <w:p>
      <w:pPr>
        <w:ind w:left="800" w:right="2579" w:hanging="592"/>
        <w:spacing w:after="0" w:line="379"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4,512,585</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365" w:lineRule="exact"/>
        <w:rPr>
          <w:sz w:val="20"/>
          <w:szCs w:val="20"/>
          <w:color w:val="auto"/>
        </w:rPr>
      </w:pPr>
    </w:p>
    <w:p>
      <w:pPr>
        <w:ind w:left="800" w:right="3779" w:hanging="592"/>
        <w:spacing w:after="0" w:line="379" w:lineRule="auto"/>
        <w:tabs>
          <w:tab w:leader="none" w:pos="84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9.3%</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307975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19" w:right="1440" w:bottom="1440" w:gutter="0" w:footer="0" w:header="0"/>
        </w:sectPr>
      </w:pPr>
    </w:p>
    <w:bookmarkStart w:id="2" w:name="page3"/>
    <w:bookmarkEnd w:id="2"/>
    <w:p>
      <w:pPr>
        <w:spacing w:after="0"/>
        <w:tabs>
          <w:tab w:leader="none" w:pos="4960" w:val="left"/>
          <w:tab w:leader="none" w:pos="560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tab/>
        <w:t>Page 3 of 14</w:t>
      </w:r>
    </w:p>
    <w:p>
      <w:pPr>
        <w:spacing w:after="0" w:line="365" w:lineRule="exact"/>
        <w:rPr>
          <w:sz w:val="20"/>
          <w:szCs w:val="20"/>
          <w:color w:val="auto"/>
        </w:rPr>
      </w:pPr>
    </w:p>
    <w:p>
      <w:pPr>
        <w:ind w:left="800" w:right="6139" w:hanging="592"/>
        <w:spacing w:after="0" w:line="395" w:lineRule="auto"/>
        <w:tabs>
          <w:tab w:leader="none" w:pos="84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Charles B. Johnson</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43" w:lineRule="exact"/>
        <w:rPr>
          <w:rFonts w:ascii="Courier New" w:cs="Courier New" w:eastAsia="Courier New" w:hAnsi="Courier New"/>
          <w:sz w:val="18"/>
          <w:szCs w:val="18"/>
          <w:color w:val="auto"/>
        </w:rPr>
      </w:pPr>
    </w:p>
    <w:p>
      <w:pPr>
        <w:ind w:left="800" w:right="5179" w:hanging="592"/>
        <w:spacing w:after="0" w:line="395" w:lineRule="auto"/>
        <w:tabs>
          <w:tab w:leader="none" w:pos="84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10"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44" w:lineRule="exact"/>
        <w:rPr>
          <w:sz w:val="20"/>
          <w:szCs w:val="20"/>
          <w:color w:val="auto"/>
        </w:rPr>
      </w:pPr>
    </w:p>
    <w:p>
      <w:pPr>
        <w:ind w:left="800" w:right="7219" w:hanging="592"/>
        <w:spacing w:after="0" w:line="379"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17" w:lineRule="exact"/>
        <w:rPr>
          <w:rFonts w:ascii="Courier New" w:cs="Courier New" w:eastAsia="Courier New" w:hAnsi="Courier New"/>
          <w:sz w:val="18"/>
          <w:szCs w:val="18"/>
          <w:color w:val="auto"/>
        </w:rPr>
      </w:pPr>
    </w:p>
    <w:p>
      <w:pPr>
        <w:ind w:left="800" w:right="7019" w:hanging="592"/>
        <w:spacing w:after="0" w:line="379"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7" w:lineRule="exact"/>
        <w:rPr>
          <w:rFonts w:ascii="Courier New" w:cs="Courier New" w:eastAsia="Courier New" w:hAnsi="Courier New"/>
          <w:sz w:val="18"/>
          <w:szCs w:val="18"/>
          <w:color w:val="auto"/>
        </w:rPr>
      </w:pPr>
    </w:p>
    <w:p>
      <w:pPr>
        <w:ind w:left="800" w:right="6679" w:hanging="592"/>
        <w:spacing w:after="0" w:line="379"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7" w:lineRule="exact"/>
        <w:rPr>
          <w:rFonts w:ascii="Courier New" w:cs="Courier New" w:eastAsia="Courier New" w:hAnsi="Courier New"/>
          <w:sz w:val="18"/>
          <w:szCs w:val="18"/>
          <w:color w:val="auto"/>
        </w:rPr>
      </w:pPr>
    </w:p>
    <w:p>
      <w:pPr>
        <w:ind w:left="800" w:right="6479" w:hanging="592"/>
        <w:spacing w:after="0" w:line="379"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7" w:lineRule="exact"/>
        <w:rPr>
          <w:rFonts w:ascii="Courier New" w:cs="Courier New" w:eastAsia="Courier New" w:hAnsi="Courier New"/>
          <w:sz w:val="18"/>
          <w:szCs w:val="18"/>
          <w:color w:val="auto"/>
        </w:rPr>
      </w:pPr>
    </w:p>
    <w:p>
      <w:pPr>
        <w:ind w:left="800" w:right="2579" w:hanging="592"/>
        <w:spacing w:after="0" w:line="379"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4,512,585</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365" w:lineRule="exact"/>
        <w:rPr>
          <w:sz w:val="20"/>
          <w:szCs w:val="20"/>
          <w:color w:val="auto"/>
        </w:rPr>
      </w:pPr>
    </w:p>
    <w:p>
      <w:pPr>
        <w:ind w:left="800" w:right="3779" w:hanging="592"/>
        <w:spacing w:after="0" w:line="379" w:lineRule="auto"/>
        <w:tabs>
          <w:tab w:leader="none" w:pos="8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9.3%</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307975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06" w:right="1440" w:bottom="1440" w:gutter="0" w:footer="0" w:header="0"/>
        </w:sectPr>
      </w:pPr>
    </w:p>
    <w:bookmarkStart w:id="3" w:name="page4"/>
    <w:bookmarkEnd w:id="3"/>
    <w:p>
      <w:pPr>
        <w:spacing w:after="0"/>
        <w:tabs>
          <w:tab w:leader="none" w:pos="4960" w:val="left"/>
          <w:tab w:leader="none" w:pos="560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tab/>
        <w:t>Page 4 of 14</w:t>
      </w:r>
    </w:p>
    <w:p>
      <w:pPr>
        <w:spacing w:after="0" w:line="365" w:lineRule="exact"/>
        <w:rPr>
          <w:sz w:val="20"/>
          <w:szCs w:val="20"/>
          <w:color w:val="auto"/>
        </w:rPr>
      </w:pPr>
    </w:p>
    <w:p>
      <w:pPr>
        <w:ind w:left="800" w:right="6139" w:hanging="592"/>
        <w:spacing w:after="0" w:line="395" w:lineRule="auto"/>
        <w:tabs>
          <w:tab w:leader="none" w:pos="84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Rupert H. Johnson, Jr.</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43" w:lineRule="exact"/>
        <w:rPr>
          <w:rFonts w:ascii="Courier New" w:cs="Courier New" w:eastAsia="Courier New" w:hAnsi="Courier New"/>
          <w:sz w:val="18"/>
          <w:szCs w:val="18"/>
          <w:color w:val="auto"/>
        </w:rPr>
      </w:pPr>
    </w:p>
    <w:p>
      <w:pPr>
        <w:ind w:left="800" w:right="5179" w:hanging="592"/>
        <w:spacing w:after="0" w:line="395" w:lineRule="auto"/>
        <w:tabs>
          <w:tab w:leader="none" w:pos="84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10"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44" w:lineRule="exact"/>
        <w:rPr>
          <w:sz w:val="20"/>
          <w:szCs w:val="20"/>
          <w:color w:val="auto"/>
        </w:rPr>
      </w:pPr>
    </w:p>
    <w:p>
      <w:pPr>
        <w:ind w:left="800" w:right="7219" w:hanging="592"/>
        <w:spacing w:after="0" w:line="379"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17" w:lineRule="exact"/>
        <w:rPr>
          <w:rFonts w:ascii="Courier New" w:cs="Courier New" w:eastAsia="Courier New" w:hAnsi="Courier New"/>
          <w:sz w:val="18"/>
          <w:szCs w:val="18"/>
          <w:color w:val="auto"/>
        </w:rPr>
      </w:pPr>
    </w:p>
    <w:p>
      <w:pPr>
        <w:ind w:left="800" w:right="7019" w:hanging="592"/>
        <w:spacing w:after="0" w:line="379"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7" w:lineRule="exact"/>
        <w:rPr>
          <w:rFonts w:ascii="Courier New" w:cs="Courier New" w:eastAsia="Courier New" w:hAnsi="Courier New"/>
          <w:sz w:val="18"/>
          <w:szCs w:val="18"/>
          <w:color w:val="auto"/>
        </w:rPr>
      </w:pPr>
    </w:p>
    <w:p>
      <w:pPr>
        <w:ind w:left="800" w:right="6679" w:hanging="592"/>
        <w:spacing w:after="0" w:line="379"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7" w:lineRule="exact"/>
        <w:rPr>
          <w:rFonts w:ascii="Courier New" w:cs="Courier New" w:eastAsia="Courier New" w:hAnsi="Courier New"/>
          <w:sz w:val="18"/>
          <w:szCs w:val="18"/>
          <w:color w:val="auto"/>
        </w:rPr>
      </w:pPr>
    </w:p>
    <w:p>
      <w:pPr>
        <w:ind w:left="800" w:right="6479" w:hanging="592"/>
        <w:spacing w:after="0" w:line="379"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7" w:lineRule="exact"/>
        <w:rPr>
          <w:rFonts w:ascii="Courier New" w:cs="Courier New" w:eastAsia="Courier New" w:hAnsi="Courier New"/>
          <w:sz w:val="18"/>
          <w:szCs w:val="18"/>
          <w:color w:val="auto"/>
        </w:rPr>
      </w:pPr>
    </w:p>
    <w:p>
      <w:pPr>
        <w:ind w:left="800" w:right="2579" w:hanging="592"/>
        <w:spacing w:after="0" w:line="379"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4,512,585</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365" w:lineRule="exact"/>
        <w:rPr>
          <w:sz w:val="20"/>
          <w:szCs w:val="20"/>
          <w:color w:val="auto"/>
        </w:rPr>
      </w:pPr>
    </w:p>
    <w:p>
      <w:pPr>
        <w:ind w:left="800" w:right="3779" w:hanging="592"/>
        <w:spacing w:after="0" w:line="379" w:lineRule="auto"/>
        <w:tabs>
          <w:tab w:leader="none" w:pos="84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9.3%</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307975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06" w:right="1440" w:bottom="1440" w:gutter="0" w:footer="0" w:header="0"/>
        </w:sectPr>
      </w:pPr>
    </w:p>
    <w:bookmarkStart w:id="4" w:name="page5"/>
    <w:bookmarkEnd w:id="4"/>
    <w:p>
      <w:pPr>
        <w:spacing w:after="0"/>
        <w:tabs>
          <w:tab w:leader="none" w:pos="4960" w:val="left"/>
          <w:tab w:leader="none" w:pos="560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tab/>
        <w:t>Page 5 of 14</w:t>
      </w:r>
    </w:p>
    <w:p>
      <w:pPr>
        <w:spacing w:after="0" w:line="365" w:lineRule="exact"/>
        <w:rPr>
          <w:sz w:val="20"/>
          <w:szCs w:val="20"/>
          <w:color w:val="auto"/>
        </w:rPr>
      </w:pPr>
    </w:p>
    <w:p>
      <w:pPr>
        <w:ind w:left="800" w:right="5539" w:hanging="592"/>
        <w:spacing w:after="0" w:line="379" w:lineRule="auto"/>
        <w:tabs>
          <w:tab w:leader="none" w:pos="84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Templeton Investment Counsel, LLC</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43" w:lineRule="exact"/>
        <w:rPr>
          <w:rFonts w:ascii="Courier New" w:cs="Courier New" w:eastAsia="Courier New" w:hAnsi="Courier New"/>
          <w:sz w:val="18"/>
          <w:szCs w:val="18"/>
          <w:color w:val="auto"/>
        </w:rPr>
      </w:pPr>
    </w:p>
    <w:p>
      <w:pPr>
        <w:ind w:left="800" w:right="5179" w:hanging="592"/>
        <w:spacing w:after="0" w:line="379" w:lineRule="auto"/>
        <w:tabs>
          <w:tab w:leader="none" w:pos="84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24"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44" w:lineRule="exact"/>
        <w:rPr>
          <w:sz w:val="20"/>
          <w:szCs w:val="20"/>
          <w:color w:val="auto"/>
        </w:rPr>
      </w:pPr>
    </w:p>
    <w:p>
      <w:pPr>
        <w:ind w:left="800" w:right="7219" w:hanging="592"/>
        <w:spacing w:after="0" w:line="395"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2,726,965</w:t>
      </w:r>
    </w:p>
    <w:p>
      <w:pPr>
        <w:spacing w:after="0" w:line="4" w:lineRule="exact"/>
        <w:rPr>
          <w:rFonts w:ascii="Courier New" w:cs="Courier New" w:eastAsia="Courier New" w:hAnsi="Courier New"/>
          <w:sz w:val="18"/>
          <w:szCs w:val="18"/>
          <w:color w:val="auto"/>
        </w:rPr>
      </w:pPr>
    </w:p>
    <w:p>
      <w:pPr>
        <w:ind w:left="800" w:right="7019" w:hanging="592"/>
        <w:spacing w:after="0" w:line="379"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17" w:lineRule="exact"/>
        <w:rPr>
          <w:rFonts w:ascii="Courier New" w:cs="Courier New" w:eastAsia="Courier New" w:hAnsi="Courier New"/>
          <w:sz w:val="18"/>
          <w:szCs w:val="18"/>
          <w:color w:val="auto"/>
        </w:rPr>
      </w:pPr>
    </w:p>
    <w:p>
      <w:pPr>
        <w:ind w:left="800" w:right="6679" w:hanging="592"/>
        <w:spacing w:after="0" w:line="395"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3,282,784</w:t>
      </w:r>
    </w:p>
    <w:p>
      <w:pPr>
        <w:spacing w:after="0" w:line="4" w:lineRule="exact"/>
        <w:rPr>
          <w:rFonts w:ascii="Courier New" w:cs="Courier New" w:eastAsia="Courier New" w:hAnsi="Courier New"/>
          <w:sz w:val="18"/>
          <w:szCs w:val="18"/>
          <w:color w:val="auto"/>
        </w:rPr>
      </w:pPr>
    </w:p>
    <w:p>
      <w:pPr>
        <w:ind w:left="800" w:right="6479" w:hanging="592"/>
        <w:spacing w:after="0" w:line="379"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7" w:lineRule="exact"/>
        <w:rPr>
          <w:rFonts w:ascii="Courier New" w:cs="Courier New" w:eastAsia="Courier New" w:hAnsi="Courier New"/>
          <w:sz w:val="18"/>
          <w:szCs w:val="18"/>
          <w:color w:val="auto"/>
        </w:rPr>
      </w:pPr>
    </w:p>
    <w:p>
      <w:pPr>
        <w:ind w:left="800" w:right="2579" w:hanging="592"/>
        <w:spacing w:after="0" w:line="379"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3,282,784</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365" w:lineRule="exact"/>
        <w:rPr>
          <w:sz w:val="20"/>
          <w:szCs w:val="20"/>
          <w:color w:val="auto"/>
        </w:rPr>
      </w:pPr>
    </w:p>
    <w:p>
      <w:pPr>
        <w:ind w:left="800" w:right="3779" w:hanging="592"/>
        <w:spacing w:after="0" w:line="379" w:lineRule="auto"/>
        <w:tabs>
          <w:tab w:leader="none" w:pos="84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6.7%</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IA, OO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307975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06" w:right="1440" w:bottom="1440" w:gutter="0" w:footer="0" w:header="0"/>
        </w:sectPr>
      </w:pPr>
    </w:p>
    <w:bookmarkStart w:id="5" w:name="page6"/>
    <w:bookmarkEnd w:id="5"/>
    <w:p>
      <w:pPr>
        <w:spacing w:after="0"/>
        <w:tabs>
          <w:tab w:leader="none" w:pos="4960" w:val="left"/>
          <w:tab w:leader="none" w:pos="560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tab/>
        <w:t>Page 6 of 14</w:t>
      </w:r>
    </w:p>
    <w:p>
      <w:pPr>
        <w:spacing w:after="0" w:line="36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1.</w:t>
      </w:r>
    </w:p>
    <w:p>
      <w:pPr>
        <w:spacing w:after="0" w:line="136" w:lineRule="exact"/>
        <w:rPr>
          <w:sz w:val="20"/>
          <w:szCs w:val="20"/>
          <w:color w:val="auto"/>
        </w:rPr>
      </w:pPr>
    </w:p>
    <w:p>
      <w:pPr>
        <w:ind w:left="800" w:right="7559" w:hanging="592"/>
        <w:spacing w:after="0" w:line="412" w:lineRule="auto"/>
        <w:tabs>
          <w:tab w:leader="none" w:pos="848"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 of Issuer LivaNova PLC</w:t>
      </w:r>
    </w:p>
    <w:p>
      <w:pPr>
        <w:ind w:left="860" w:hanging="652"/>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28"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5 Merchant Square, North Wharf Road</w:t>
      </w:r>
    </w:p>
    <w:p>
      <w:pPr>
        <w:spacing w:after="0" w:line="12"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London, UK W2 1AY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2.</w:t>
      </w:r>
    </w:p>
    <w:p>
      <w:pPr>
        <w:spacing w:after="0" w:line="134" w:lineRule="exact"/>
        <w:rPr>
          <w:sz w:val="20"/>
          <w:szCs w:val="20"/>
          <w:color w:val="auto"/>
        </w:rPr>
      </w:pPr>
    </w:p>
    <w:p>
      <w:pPr>
        <w:ind w:left="860" w:hanging="652"/>
        <w:spacing w:after="0"/>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53"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w:t>
        <w:tab/>
        <w:t>Franklin Resources, Inc.</w:t>
      </w:r>
    </w:p>
    <w:p>
      <w:pPr>
        <w:spacing w:after="0" w:line="201"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7"/>
          <w:szCs w:val="17"/>
          <w:color w:val="auto"/>
        </w:rPr>
        <w:t>Charles B. Johnson</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(iii): Rupert H. Johnson, Jr.</w:t>
      </w:r>
    </w:p>
    <w:p>
      <w:pPr>
        <w:spacing w:after="0" w:line="107"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7"/>
          <w:szCs w:val="17"/>
          <w:color w:val="auto"/>
        </w:rPr>
        <w:t>Templeton Investment Counsel, LLC</w:t>
      </w:r>
    </w:p>
    <w:p>
      <w:pPr>
        <w:spacing w:after="0" w:line="338" w:lineRule="exact"/>
        <w:rPr>
          <w:sz w:val="20"/>
          <w:szCs w:val="20"/>
          <w:color w:val="auto"/>
        </w:rPr>
      </w:pPr>
    </w:p>
    <w:p>
      <w:pPr>
        <w:ind w:left="860" w:hanging="652"/>
        <w:spacing w:after="0"/>
        <w:tabs>
          <w:tab w:leader="none" w:pos="86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Address of Principal Business Office or, if none, Residence</w:t>
      </w:r>
    </w:p>
    <w:p>
      <w:pPr>
        <w:spacing w:after="0" w:line="143"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 (ii), and (iii):</w:t>
      </w:r>
    </w:p>
    <w:p>
      <w:pPr>
        <w:spacing w:after="0" w:line="12" w:lineRule="exact"/>
        <w:rPr>
          <w:sz w:val="20"/>
          <w:szCs w:val="20"/>
          <w:color w:val="auto"/>
        </w:rPr>
      </w:pPr>
    </w:p>
    <w:p>
      <w:pPr>
        <w:ind w:left="1400"/>
        <w:spacing w:after="0"/>
        <w:rPr>
          <w:sz w:val="20"/>
          <w:szCs w:val="20"/>
          <w:color w:val="auto"/>
        </w:rPr>
      </w:pPr>
      <w:r>
        <w:rPr>
          <w:rFonts w:ascii="Courier New" w:cs="Courier New" w:eastAsia="Courier New" w:hAnsi="Courier New"/>
          <w:sz w:val="18"/>
          <w:szCs w:val="18"/>
          <w:color w:val="auto"/>
        </w:rPr>
        <w:t>One Franklin Parkway</w:t>
      </w:r>
    </w:p>
    <w:p>
      <w:pPr>
        <w:spacing w:after="0" w:line="7" w:lineRule="exact"/>
        <w:rPr>
          <w:sz w:val="20"/>
          <w:szCs w:val="20"/>
          <w:color w:val="auto"/>
        </w:rPr>
      </w:pPr>
    </w:p>
    <w:p>
      <w:pPr>
        <w:ind w:left="1400"/>
        <w:spacing w:after="0" w:line="209" w:lineRule="exact"/>
        <w:rPr>
          <w:sz w:val="20"/>
          <w:szCs w:val="20"/>
          <w:color w:val="auto"/>
        </w:rPr>
      </w:pPr>
      <w:r>
        <w:rPr>
          <w:rFonts w:ascii="Courier New" w:cs="Courier New" w:eastAsia="Courier New" w:hAnsi="Courier New"/>
          <w:sz w:val="18"/>
          <w:szCs w:val="18"/>
          <w:color w:val="auto"/>
        </w:rPr>
        <w:t>San Mateo, CA 94403</w:t>
      </w:r>
      <w:r>
        <w:rPr>
          <w:rFonts w:ascii="MS Gothic" w:cs="MS Gothic" w:eastAsia="MS Gothic" w:hAnsi="MS Gothic"/>
          <w:sz w:val="18"/>
          <w:szCs w:val="18"/>
          <w:color w:val="auto"/>
        </w:rPr>
        <w:t>‑</w:t>
      </w:r>
      <w:r>
        <w:rPr>
          <w:rFonts w:ascii="Courier New" w:cs="Courier New" w:eastAsia="Courier New" w:hAnsi="Courier New"/>
          <w:sz w:val="18"/>
          <w:szCs w:val="18"/>
          <w:color w:val="auto"/>
        </w:rPr>
        <w:t>1906</w:t>
      </w:r>
    </w:p>
    <w:p>
      <w:pPr>
        <w:spacing w:after="0" w:line="66"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(iv): 500 E. Broward Boulevard, Suite 2100</w:t>
      </w:r>
    </w:p>
    <w:p>
      <w:pPr>
        <w:spacing w:after="0" w:line="48" w:lineRule="exact"/>
        <w:rPr>
          <w:sz w:val="20"/>
          <w:szCs w:val="20"/>
          <w:color w:val="auto"/>
        </w:rPr>
      </w:pPr>
    </w:p>
    <w:p>
      <w:pPr>
        <w:ind w:left="1400"/>
        <w:spacing w:after="0" w:line="209" w:lineRule="exact"/>
        <w:tabs>
          <w:tab w:leader="none" w:pos="3660" w:val="left"/>
        </w:tabs>
        <w:rPr>
          <w:sz w:val="20"/>
          <w:szCs w:val="20"/>
          <w:color w:val="auto"/>
        </w:rPr>
      </w:pPr>
      <w:r>
        <w:rPr>
          <w:rFonts w:ascii="Courier New" w:cs="Courier New" w:eastAsia="Courier New" w:hAnsi="Courier New"/>
          <w:sz w:val="18"/>
          <w:szCs w:val="18"/>
          <w:color w:val="auto"/>
        </w:rPr>
        <w:t>Fort Lauderdale, FL</w:t>
        <w:tab/>
        <w:t>33394</w:t>
      </w:r>
      <w:r>
        <w:rPr>
          <w:rFonts w:ascii="MS Gothic" w:cs="MS Gothic" w:eastAsia="MS Gothic" w:hAnsi="MS Gothic"/>
          <w:sz w:val="18"/>
          <w:szCs w:val="18"/>
          <w:color w:val="auto"/>
        </w:rPr>
        <w:t>‑</w:t>
      </w:r>
      <w:r>
        <w:rPr>
          <w:rFonts w:ascii="Courier New" w:cs="Courier New" w:eastAsia="Courier New" w:hAnsi="Courier New"/>
          <w:sz w:val="18"/>
          <w:szCs w:val="18"/>
          <w:color w:val="auto"/>
        </w:rPr>
        <w:t>3091</w:t>
      </w:r>
    </w:p>
    <w:p>
      <w:pPr>
        <w:spacing w:after="0" w:line="161" w:lineRule="exact"/>
        <w:rPr>
          <w:sz w:val="20"/>
          <w:szCs w:val="20"/>
          <w:color w:val="auto"/>
        </w:rPr>
      </w:pPr>
    </w:p>
    <w:p>
      <w:pPr>
        <w:ind w:left="860" w:hanging="6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147" w:lineRule="exact"/>
        <w:rPr>
          <w:sz w:val="20"/>
          <w:szCs w:val="20"/>
          <w:color w:val="auto"/>
        </w:rPr>
      </w:pPr>
    </w:p>
    <w:p>
      <w:pPr>
        <w:ind w:left="800"/>
        <w:spacing w:after="0"/>
        <w:tabs>
          <w:tab w:leader="none" w:pos="176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Delaware</w:t>
      </w:r>
    </w:p>
    <w:p>
      <w:pPr>
        <w:spacing w:after="0" w:line="134" w:lineRule="exact"/>
        <w:rPr>
          <w:sz w:val="20"/>
          <w:szCs w:val="20"/>
          <w:color w:val="auto"/>
        </w:rPr>
      </w:pPr>
    </w:p>
    <w:p>
      <w:pPr>
        <w:ind w:left="1340" w:hanging="532"/>
        <w:spacing w:after="0"/>
        <w:tabs>
          <w:tab w:leader="none" w:pos="134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w:t>
      </w:r>
    </w:p>
    <w:p>
      <w:pPr>
        <w:spacing w:after="0" w:line="66" w:lineRule="exact"/>
        <w:rPr>
          <w:rFonts w:ascii="Courier New" w:cs="Courier New" w:eastAsia="Courier New" w:hAnsi="Courier New"/>
          <w:sz w:val="18"/>
          <w:szCs w:val="18"/>
          <w:color w:val="auto"/>
        </w:rPr>
      </w:pPr>
    </w:p>
    <w:p>
      <w:pPr>
        <w:ind w:left="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 Delaware</w:t>
      </w:r>
    </w:p>
    <w:p>
      <w:pPr>
        <w:spacing w:after="0" w:line="25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120"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Ordinary Shares — £1.00 par value per share</w:t>
      </w:r>
    </w:p>
    <w:p>
      <w:pPr>
        <w:spacing w:after="0" w:line="244" w:lineRule="exact"/>
        <w:rPr>
          <w:sz w:val="20"/>
          <w:szCs w:val="20"/>
          <w:color w:val="auto"/>
        </w:rPr>
      </w:pPr>
    </w:p>
    <w:p>
      <w:pPr>
        <w:ind w:left="800" w:right="7759" w:hanging="592"/>
        <w:spacing w:after="0" w:line="379" w:lineRule="auto"/>
        <w:tabs>
          <w:tab w:leader="none" w:pos="84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G5509L101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215900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06" w:right="1440" w:bottom="1440" w:gutter="0" w:footer="0" w:header="0"/>
        </w:sectPr>
      </w:pPr>
    </w:p>
    <w:bookmarkStart w:id="6" w:name="page7"/>
    <w:bookmarkEnd w:id="6"/>
    <w:p>
      <w:pPr>
        <w:spacing w:after="0"/>
        <w:tabs>
          <w:tab w:leader="none" w:pos="4960" w:val="left"/>
          <w:tab w:leader="none" w:pos="560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tab/>
        <w:t>Page 7 of 14</w:t>
      </w:r>
    </w:p>
    <w:p>
      <w:pPr>
        <w:spacing w:after="0" w:line="379" w:lineRule="exact"/>
        <w:rPr>
          <w:sz w:val="20"/>
          <w:szCs w:val="20"/>
          <w:color w:val="auto"/>
        </w:rPr>
      </w:pPr>
    </w:p>
    <w:p>
      <w:pPr>
        <w:ind w:left="900" w:right="639" w:hanging="799"/>
        <w:spacing w:after="0" w:line="215" w:lineRule="exact"/>
        <w:rPr>
          <w:sz w:val="20"/>
          <w:szCs w:val="20"/>
          <w:color w:val="auto"/>
        </w:rPr>
      </w:pPr>
      <w:r>
        <w:rPr>
          <w:rFonts w:ascii="Courier New" w:cs="Courier New" w:eastAsia="Courier New" w:hAnsi="Courier New"/>
          <w:sz w:val="18"/>
          <w:szCs w:val="18"/>
          <w:color w:val="auto"/>
        </w:rPr>
        <w:t>Item 3. If this statement is filed pursuant to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or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2(b) or (c), check whether the person filing is a:</w:t>
      </w:r>
    </w:p>
    <w:p>
      <w:pPr>
        <w:spacing w:after="0" w:line="27" w:lineRule="exact"/>
        <w:rPr>
          <w:sz w:val="20"/>
          <w:szCs w:val="20"/>
          <w:color w:val="auto"/>
        </w:rPr>
      </w:pPr>
    </w:p>
    <w:p>
      <w:pPr>
        <w:ind w:left="1240" w:hanging="432"/>
        <w:spacing w:after="0"/>
        <w:tabs>
          <w:tab w:leader="none" w:pos="12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133" w:lineRule="exact"/>
        <w:rPr>
          <w:rFonts w:ascii="Courier New" w:cs="Courier New" w:eastAsia="Courier New" w:hAnsi="Courier New"/>
          <w:sz w:val="18"/>
          <w:szCs w:val="18"/>
          <w:color w:val="auto"/>
        </w:rPr>
      </w:pPr>
    </w:p>
    <w:p>
      <w:pPr>
        <w:ind w:left="1240" w:hanging="432"/>
        <w:spacing w:after="0"/>
        <w:tabs>
          <w:tab w:leader="none" w:pos="12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135" w:lineRule="exact"/>
        <w:rPr>
          <w:rFonts w:ascii="Courier New" w:cs="Courier New" w:eastAsia="Courier New" w:hAnsi="Courier New"/>
          <w:sz w:val="18"/>
          <w:szCs w:val="18"/>
          <w:color w:val="auto"/>
        </w:rPr>
      </w:pPr>
    </w:p>
    <w:p>
      <w:pPr>
        <w:ind w:left="1600" w:right="679" w:hanging="792"/>
        <w:spacing w:after="0" w:line="267" w:lineRule="auto"/>
        <w:tabs>
          <w:tab w:leader="none" w:pos="123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113" w:lineRule="exact"/>
        <w:rPr>
          <w:rFonts w:ascii="Courier New" w:cs="Courier New" w:eastAsia="Courier New" w:hAnsi="Courier New"/>
          <w:sz w:val="18"/>
          <w:szCs w:val="18"/>
          <w:color w:val="auto"/>
        </w:rPr>
      </w:pPr>
    </w:p>
    <w:p>
      <w:pPr>
        <w:ind w:left="1600" w:right="579" w:hanging="792"/>
        <w:spacing w:after="0" w:line="215" w:lineRule="exact"/>
        <w:tabs>
          <w:tab w:leader="none" w:pos="123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8).</w:t>
      </w:r>
    </w:p>
    <w:p>
      <w:pPr>
        <w:spacing w:after="0" w:line="130" w:lineRule="exact"/>
        <w:rPr>
          <w:rFonts w:ascii="Courier New" w:cs="Courier New" w:eastAsia="Courier New" w:hAnsi="Courier New"/>
          <w:sz w:val="18"/>
          <w:szCs w:val="18"/>
          <w:color w:val="auto"/>
        </w:rPr>
      </w:pPr>
    </w:p>
    <w:p>
      <w:pPr>
        <w:ind w:left="1240" w:hanging="432"/>
        <w:spacing w:after="0" w:line="209" w:lineRule="exact"/>
        <w:tabs>
          <w:tab w:leader="none" w:pos="12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1(b)(1)(ii)(E);</w:t>
      </w:r>
    </w:p>
    <w:p>
      <w:pPr>
        <w:spacing w:after="0" w:line="133" w:lineRule="exact"/>
        <w:rPr>
          <w:rFonts w:ascii="Courier New" w:cs="Courier New" w:eastAsia="Courier New" w:hAnsi="Courier New"/>
          <w:sz w:val="18"/>
          <w:szCs w:val="18"/>
          <w:color w:val="auto"/>
        </w:rPr>
      </w:pPr>
    </w:p>
    <w:p>
      <w:pPr>
        <w:ind w:left="1240" w:hanging="432"/>
        <w:spacing w:after="0"/>
        <w:tabs>
          <w:tab w:leader="none" w:pos="12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w:t>
      </w:r>
    </w:p>
    <w:p>
      <w:pPr>
        <w:spacing w:after="0" w:line="21" w:lineRule="exact"/>
        <w:rPr>
          <w:sz w:val="20"/>
          <w:szCs w:val="20"/>
          <w:color w:val="auto"/>
        </w:rPr>
      </w:pPr>
    </w:p>
    <w:p>
      <w:pPr>
        <w:ind w:left="1600"/>
        <w:spacing w:after="0" w:line="209" w:lineRule="exact"/>
        <w:rPr>
          <w:sz w:val="20"/>
          <w:szCs w:val="20"/>
          <w:color w:val="auto"/>
        </w:rPr>
      </w:pPr>
      <w:r>
        <w:rPr>
          <w:rFonts w:ascii="Courier New" w:cs="Courier New" w:eastAsia="Courier New" w:hAnsi="Courier New"/>
          <w:sz w:val="18"/>
          <w:szCs w:val="18"/>
          <w:color w:val="auto"/>
        </w:rPr>
        <w:t>§240.13d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1(b)(1)(ii)(F);</w:t>
      </w:r>
    </w:p>
    <w:p>
      <w:pPr>
        <w:spacing w:after="0" w:line="136" w:lineRule="exact"/>
        <w:rPr>
          <w:sz w:val="20"/>
          <w:szCs w:val="20"/>
          <w:color w:val="auto"/>
        </w:rPr>
      </w:pPr>
    </w:p>
    <w:p>
      <w:pPr>
        <w:ind w:left="1600" w:right="1659" w:hanging="792"/>
        <w:spacing w:after="0" w:line="215" w:lineRule="exact"/>
        <w:tabs>
          <w:tab w:leader="none" w:pos="12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1(b)(1)(ii)(G);</w:t>
      </w:r>
    </w:p>
    <w:p>
      <w:pPr>
        <w:spacing w:after="0" w:line="137" w:lineRule="exact"/>
        <w:rPr>
          <w:rFonts w:ascii="Courier New" w:cs="Courier New" w:eastAsia="Courier New" w:hAnsi="Courier New"/>
          <w:sz w:val="18"/>
          <w:szCs w:val="18"/>
          <w:color w:val="auto"/>
        </w:rPr>
      </w:pPr>
    </w:p>
    <w:p>
      <w:pPr>
        <w:ind w:left="1600" w:right="479" w:hanging="792"/>
        <w:spacing w:after="0" w:line="267" w:lineRule="auto"/>
        <w:tabs>
          <w:tab w:leader="none" w:pos="12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113" w:lineRule="exact"/>
        <w:rPr>
          <w:rFonts w:ascii="Courier New" w:cs="Courier New" w:eastAsia="Courier New" w:hAnsi="Courier New"/>
          <w:sz w:val="18"/>
          <w:szCs w:val="18"/>
          <w:color w:val="auto"/>
        </w:rPr>
      </w:pPr>
    </w:p>
    <w:p>
      <w:pPr>
        <w:ind w:left="1600" w:right="539" w:hanging="792"/>
        <w:spacing w:after="0" w:line="221" w:lineRule="exact"/>
        <w:tabs>
          <w:tab w:leader="none" w:pos="12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3);</w:t>
      </w:r>
    </w:p>
    <w:p>
      <w:pPr>
        <w:spacing w:after="0" w:line="129" w:lineRule="exact"/>
        <w:rPr>
          <w:rFonts w:ascii="Courier New" w:cs="Courier New" w:eastAsia="Courier New" w:hAnsi="Courier New"/>
          <w:sz w:val="18"/>
          <w:szCs w:val="18"/>
          <w:color w:val="auto"/>
        </w:rPr>
      </w:pPr>
    </w:p>
    <w:p>
      <w:pPr>
        <w:ind w:left="1240" w:hanging="432"/>
        <w:spacing w:after="0" w:line="209" w:lineRule="exact"/>
        <w:tabs>
          <w:tab w:leader="none" w:pos="12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1(b)(ii)(J);</w:t>
      </w:r>
    </w:p>
    <w:p>
      <w:pPr>
        <w:spacing w:after="0" w:line="133" w:lineRule="exact"/>
        <w:rPr>
          <w:rFonts w:ascii="Courier New" w:cs="Courier New" w:eastAsia="Courier New" w:hAnsi="Courier New"/>
          <w:sz w:val="18"/>
          <w:szCs w:val="18"/>
          <w:color w:val="auto"/>
        </w:rPr>
      </w:pPr>
    </w:p>
    <w:p>
      <w:pPr>
        <w:ind w:left="1240" w:hanging="432"/>
        <w:spacing w:after="0"/>
        <w:tabs>
          <w:tab w:leader="none" w:pos="12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 1(b)(1)(ii)(K).</w:t>
      </w:r>
    </w:p>
    <w:p>
      <w:pPr>
        <w:spacing w:after="0" w:line="129" w:lineRule="exact"/>
        <w:rPr>
          <w:sz w:val="20"/>
          <w:szCs w:val="20"/>
          <w:color w:val="auto"/>
        </w:rPr>
      </w:pPr>
    </w:p>
    <w:p>
      <w:pPr>
        <w:ind w:left="800"/>
        <w:spacing w:after="0" w:line="209" w:lineRule="exact"/>
        <w:rPr>
          <w:sz w:val="20"/>
          <w:szCs w:val="20"/>
          <w:color w:val="auto"/>
        </w:rPr>
      </w:pPr>
      <w:r>
        <w:rPr>
          <w:rFonts w:ascii="Courier New" w:cs="Courier New" w:eastAsia="Courier New" w:hAnsi="Courier New"/>
          <w:sz w:val="18"/>
          <w:szCs w:val="18"/>
          <w:color w:val="auto"/>
        </w:rPr>
        <w:t>If filing as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 (J).</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please specify the type of institution:</w:t>
      </w:r>
    </w:p>
    <w:p>
      <w:pPr>
        <w:spacing w:after="0" w:line="161"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4.</w:t>
        <w:tab/>
        <w:t>Ownership</w:t>
      </w:r>
    </w:p>
    <w:p>
      <w:pPr>
        <w:spacing w:after="0" w:line="149" w:lineRule="exact"/>
        <w:rPr>
          <w:sz w:val="20"/>
          <w:szCs w:val="20"/>
          <w:color w:val="auto"/>
        </w:rPr>
      </w:pPr>
    </w:p>
    <w:p>
      <w:pPr>
        <w:ind w:left="200" w:right="419"/>
        <w:spacing w:after="0" w:line="228" w:lineRule="exact"/>
        <w:rPr>
          <w:sz w:val="20"/>
          <w:szCs w:val="20"/>
          <w:color w:val="auto"/>
        </w:rPr>
      </w:pPr>
      <w:r>
        <w:rPr>
          <w:rFonts w:ascii="Courier New" w:cs="Courier New" w:eastAsia="Courier New" w:hAnsi="Courier New"/>
          <w:sz w:val="18"/>
          <w:szCs w:val="18"/>
          <w:color w:val="auto"/>
        </w:rPr>
        <w:t>The securities reported herein are beneficially owned by one or more open</w:t>
      </w:r>
      <w:r>
        <w:rPr>
          <w:rFonts w:ascii="MS Gothic" w:cs="MS Gothic" w:eastAsia="MS Gothic" w:hAnsi="MS Gothic"/>
          <w:sz w:val="18"/>
          <w:szCs w:val="18"/>
          <w:color w:val="auto"/>
        </w:rPr>
        <w:t>‑</w:t>
      </w:r>
      <w:r>
        <w:rPr>
          <w:rFonts w:ascii="Courier New" w:cs="Courier New" w:eastAsia="Courier New" w:hAnsi="Courier New"/>
          <w:sz w:val="18"/>
          <w:szCs w:val="18"/>
          <w:color w:val="auto"/>
        </w:rPr>
        <w:t xml:space="preserve"> or closed</w:t>
      </w:r>
      <w:r>
        <w:rPr>
          <w:rFonts w:ascii="MS Gothic" w:cs="MS Gothic" w:eastAsia="MS Gothic" w:hAnsi="MS Gothic"/>
          <w:sz w:val="18"/>
          <w:szCs w:val="18"/>
          <w:color w:val="auto"/>
        </w:rPr>
        <w:t>‑</w:t>
      </w:r>
      <w:r>
        <w:rPr>
          <w:rFonts w:ascii="Courier New" w:cs="Courier New" w:eastAsia="Courier New" w:hAnsi="Courier New"/>
          <w:sz w:val="18"/>
          <w:szCs w:val="18"/>
          <w:color w:val="auto"/>
        </w:rPr>
        <w:t>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this Item 4. When an investment management contract (including a sub</w:t>
      </w:r>
      <w:r>
        <w:rPr>
          <w:rFonts w:ascii="MS Gothic" w:cs="MS Gothic" w:eastAsia="MS Gothic" w:hAnsi="MS Gothic"/>
          <w:sz w:val="18"/>
          <w:szCs w:val="18"/>
          <w:color w:val="auto"/>
        </w:rPr>
        <w:t>‑</w:t>
      </w:r>
      <w:r>
        <w:rPr>
          <w:rFonts w:ascii="Courier New" w:cs="Courier New" w:eastAsia="Courier New" w:hAnsi="Courier New"/>
          <w:sz w:val="18"/>
          <w:szCs w:val="18"/>
          <w:color w:val="auto"/>
        </w:rPr>
        <w:t>advisory agreement) delegates to an Investment Management Subsidiary investment discretion or voting power over the securities held in the investment advisory accounts that are subject to that agreement, FRI treats the Investment Management Subsidiary as having sole investment discretion or voting authority, as the case may be, unless the agreement specifies otherwise. Accordingly, each Investment Management Subsidiary reports on Schedule 13G that it has sole investment discretion and voting authority over the securities covered by any such investment management agreement, unless otherwise noted in this Item 4. As a result,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Investment Management Subsidiaries listed in this Item 4 may be deemed to be the beneficial owners of the securities reported in this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381635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33" w:right="1440" w:bottom="1440" w:gutter="0" w:footer="0" w:header="0"/>
        </w:sectPr>
      </w:pPr>
    </w:p>
    <w:bookmarkStart w:id="7" w:name="page8"/>
    <w:bookmarkEnd w:id="7"/>
    <w:p>
      <w:pPr>
        <w:ind w:left="300"/>
        <w:spacing w:after="0"/>
        <w:tabs>
          <w:tab w:leader="none" w:pos="5260" w:val="left"/>
          <w:tab w:leader="none" w:pos="590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tab/>
        <w:t>Page 8 of 14</w:t>
      </w:r>
    </w:p>
    <w:p>
      <w:pPr>
        <w:spacing w:after="0" w:line="149" w:lineRule="exact"/>
        <w:rPr>
          <w:sz w:val="20"/>
          <w:szCs w:val="20"/>
          <w:color w:val="auto"/>
        </w:rPr>
      </w:pPr>
    </w:p>
    <w:p>
      <w:pPr>
        <w:ind w:left="500" w:right="1640"/>
        <w:spacing w:after="0" w:line="228" w:lineRule="exact"/>
        <w:rPr>
          <w:sz w:val="20"/>
          <w:szCs w:val="20"/>
          <w:color w:val="auto"/>
        </w:rPr>
      </w:pPr>
      <w:r>
        <w:rPr>
          <w:rFonts w:ascii="Courier New" w:cs="Courier New" w:eastAsia="Courier New" w:hAnsi="Courier New"/>
          <w:sz w:val="18"/>
          <w:szCs w:val="18"/>
          <w:color w:val="auto"/>
        </w:rPr>
        <w:t>Beneficial ownership by Investment Management Subsidiaries and other FRI affiliates is being reported in conformity with the guidelines articulated by the SEC staff in Release No. 34</w:t>
      </w:r>
      <w:r>
        <w:rPr>
          <w:rFonts w:ascii="MS Gothic" w:cs="MS Gothic" w:eastAsia="MS Gothic" w:hAnsi="MS Gothic"/>
          <w:sz w:val="18"/>
          <w:szCs w:val="18"/>
          <w:color w:val="auto"/>
        </w:rPr>
        <w:t>‑</w:t>
      </w:r>
      <w:r>
        <w:rPr>
          <w:rFonts w:ascii="Courier New" w:cs="Courier New" w:eastAsia="Courier New" w:hAnsi="Courier New"/>
          <w:sz w:val="18"/>
          <w:szCs w:val="18"/>
          <w:color w:val="auto"/>
        </w:rPr>
        <w:t>39538 (January 12, 1998) relating to organizations, such as FRI, where related entities exercise voting and investment powers over the securities being reported independently from each other. The voting and investment powers held by Franklin Mutual Advisers, LLC (“FMA”), an indirect wholly</w:t>
      </w:r>
      <w:r>
        <w:rPr>
          <w:rFonts w:ascii="MS Gothic" w:cs="MS Gothic" w:eastAsia="MS Gothic" w:hAnsi="MS Gothic"/>
          <w:sz w:val="18"/>
          <w:szCs w:val="18"/>
          <w:color w:val="auto"/>
        </w:rPr>
        <w:t>‑</w:t>
      </w:r>
      <w:r>
        <w:rPr>
          <w:rFonts w:ascii="Courier New" w:cs="Courier New" w:eastAsia="Courier New" w:hAnsi="Courier New"/>
          <w:sz w:val="18"/>
          <w:szCs w:val="18"/>
          <w:color w:val="auto"/>
        </w:rPr>
        <w:t>owned Investment Management Subsidiary, are exercised independently from FRI and from all other Investment Management Subsidiaries (FRI, its affiliates and the Investment Management Subsidiaries other than FMA are collectively, “FRI affiliates”). Furthermore, internal policies and procedures of FMA and FRI establish informational barriers that prevent the flow between FMA and the FRI affiliates of information that relates to the voting and investment powers over the securities owned by their respective management clients. Consequently, FMA and FRI affiliates report the securities over which they hold investment and voting power separately from each other for purposes of Section 13 of the Act.</w:t>
      </w:r>
    </w:p>
    <w:p>
      <w:pPr>
        <w:spacing w:after="0" w:line="152" w:lineRule="exact"/>
        <w:rPr>
          <w:sz w:val="20"/>
          <w:szCs w:val="20"/>
          <w:color w:val="auto"/>
        </w:rPr>
      </w:pPr>
    </w:p>
    <w:p>
      <w:pPr>
        <w:ind w:left="500" w:right="1640"/>
        <w:spacing w:after="0" w:line="229" w:lineRule="exact"/>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stockholders of FRI. FRI and the Principal Shareholders may be deemed to be,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pages for FRI and each of the Principal Shareholders. FRI, the Principal Shareholders and each of the Investment Management Subsidiaries disclaim any pecuniary interest in any of the such securities. In addition, the filing of this Schedule 13G on behalf of the Principal Shareholders, FRI and the FRI affiliates, as applicable, should not be construed as an admission that any of them is, and each of them disclaims that it is, the beneficial owner, as defined in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of any of the securities reported in this Schedule 13G.</w:t>
      </w:r>
    </w:p>
    <w:p>
      <w:pPr>
        <w:spacing w:after="0" w:line="151" w:lineRule="exact"/>
        <w:rPr>
          <w:sz w:val="20"/>
          <w:szCs w:val="20"/>
          <w:color w:val="auto"/>
        </w:rPr>
      </w:pPr>
    </w:p>
    <w:p>
      <w:pPr>
        <w:ind w:left="500" w:right="1640"/>
        <w:spacing w:after="0" w:line="225" w:lineRule="exact"/>
        <w:rPr>
          <w:sz w:val="20"/>
          <w:szCs w:val="20"/>
          <w:color w:val="auto"/>
        </w:rPr>
      </w:pPr>
      <w:r>
        <w:rPr>
          <w:rFonts w:ascii="Courier New" w:cs="Courier New" w:eastAsia="Courier New" w:hAnsi="Courier New"/>
          <w:sz w:val="18"/>
          <w:szCs w:val="18"/>
          <w:color w:val="auto"/>
        </w:rPr>
        <w:t>FRI, the Principal Shareholders, and each of the Investment Management Subsidiaries believe that they are not a “group” within the meaning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5 under the Act and that they are not otherwise required to attribute to each other the beneficial ownership of the securities held by any of them or by any persons or entities for whom or for which the Investment Management Subsidiaries provide investment management services.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ind w:left="1100"/>
              <w:spacing w:after="0"/>
              <w:rPr>
                <w:sz w:val="20"/>
                <w:szCs w:val="20"/>
                <w:color w:val="auto"/>
              </w:rPr>
            </w:pPr>
            <w:r>
              <w:rPr>
                <w:rFonts w:ascii="Courier New" w:cs="Courier New" w:eastAsia="Courier New" w:hAnsi="Courier New"/>
                <w:sz w:val="18"/>
                <w:szCs w:val="18"/>
                <w:color w:val="auto"/>
              </w:rPr>
              <w:t>(a)</w:t>
            </w:r>
          </w:p>
        </w:tc>
        <w:tc>
          <w:tcPr>
            <w:tcW w:w="5280" w:type="dxa"/>
            <w:vAlign w:val="bottom"/>
          </w:tcPr>
          <w:p>
            <w:pPr>
              <w:ind w:left="280"/>
              <w:spacing w:after="0"/>
              <w:rPr>
                <w:sz w:val="20"/>
                <w:szCs w:val="20"/>
                <w:color w:val="auto"/>
              </w:rPr>
            </w:pPr>
            <w:r>
              <w:rPr>
                <w:rFonts w:ascii="Courier New" w:cs="Courier New" w:eastAsia="Courier New" w:hAnsi="Courier New"/>
                <w:sz w:val="18"/>
                <w:szCs w:val="18"/>
                <w:color w:val="auto"/>
              </w:rPr>
              <w:t>Amount beneficially owned:</w:t>
            </w:r>
          </w:p>
        </w:tc>
        <w:tc>
          <w:tcPr>
            <w:tcW w:w="4680" w:type="dxa"/>
            <w:vAlign w:val="bottom"/>
          </w:tcPr>
          <w:p>
            <w:pPr>
              <w:spacing w:after="0"/>
              <w:rPr>
                <w:sz w:val="17"/>
                <w:szCs w:val="17"/>
                <w:color w:val="auto"/>
              </w:rPr>
            </w:pPr>
          </w:p>
        </w:tc>
      </w:tr>
      <w:tr>
        <w:trPr>
          <w:trHeight w:val="324"/>
        </w:trPr>
        <w:tc>
          <w:tcPr>
            <w:tcW w:w="1480" w:type="dxa"/>
            <w:vAlign w:val="bottom"/>
          </w:tcPr>
          <w:p>
            <w:pPr>
              <w:spacing w:after="0"/>
              <w:rPr>
                <w:sz w:val="24"/>
                <w:szCs w:val="24"/>
                <w:color w:val="auto"/>
              </w:rPr>
            </w:pPr>
          </w:p>
        </w:tc>
        <w:tc>
          <w:tcPr>
            <w:tcW w:w="5280" w:type="dxa"/>
            <w:vAlign w:val="bottom"/>
          </w:tcPr>
          <w:p>
            <w:pPr>
              <w:ind w:left="220"/>
              <w:spacing w:after="0"/>
              <w:rPr>
                <w:sz w:val="20"/>
                <w:szCs w:val="20"/>
                <w:color w:val="auto"/>
              </w:rPr>
            </w:pPr>
            <w:r>
              <w:rPr>
                <w:rFonts w:ascii="Courier New" w:cs="Courier New" w:eastAsia="Courier New" w:hAnsi="Courier New"/>
                <w:sz w:val="18"/>
                <w:szCs w:val="18"/>
                <w:color w:val="auto"/>
              </w:rPr>
              <w:t>4,512,585</w:t>
            </w:r>
          </w:p>
        </w:tc>
        <w:tc>
          <w:tcPr>
            <w:tcW w:w="4680" w:type="dxa"/>
            <w:vAlign w:val="bottom"/>
          </w:tcPr>
          <w:p>
            <w:pPr>
              <w:spacing w:after="0"/>
              <w:rPr>
                <w:sz w:val="24"/>
                <w:szCs w:val="24"/>
                <w:color w:val="auto"/>
              </w:rPr>
            </w:pPr>
          </w:p>
        </w:tc>
      </w:tr>
      <w:tr>
        <w:trPr>
          <w:trHeight w:val="338"/>
        </w:trPr>
        <w:tc>
          <w:tcPr>
            <w:tcW w:w="1480" w:type="dxa"/>
            <w:vAlign w:val="bottom"/>
          </w:tcPr>
          <w:p>
            <w:pPr>
              <w:ind w:left="1100"/>
              <w:spacing w:after="0"/>
              <w:rPr>
                <w:sz w:val="20"/>
                <w:szCs w:val="20"/>
                <w:color w:val="auto"/>
              </w:rPr>
            </w:pPr>
            <w:r>
              <w:rPr>
                <w:rFonts w:ascii="Courier New" w:cs="Courier New" w:eastAsia="Courier New" w:hAnsi="Courier New"/>
                <w:sz w:val="18"/>
                <w:szCs w:val="18"/>
                <w:color w:val="auto"/>
              </w:rPr>
              <w:t>(b)</w:t>
            </w:r>
          </w:p>
        </w:tc>
        <w:tc>
          <w:tcPr>
            <w:tcW w:w="5280" w:type="dxa"/>
            <w:vAlign w:val="bottom"/>
          </w:tcPr>
          <w:p>
            <w:pPr>
              <w:ind w:left="280"/>
              <w:spacing w:after="0"/>
              <w:rPr>
                <w:sz w:val="20"/>
                <w:szCs w:val="20"/>
                <w:color w:val="auto"/>
              </w:rPr>
            </w:pPr>
            <w:r>
              <w:rPr>
                <w:rFonts w:ascii="Courier New" w:cs="Courier New" w:eastAsia="Courier New" w:hAnsi="Courier New"/>
                <w:sz w:val="18"/>
                <w:szCs w:val="18"/>
                <w:color w:val="auto"/>
              </w:rPr>
              <w:t>Percent of class:</w:t>
            </w:r>
          </w:p>
        </w:tc>
        <w:tc>
          <w:tcPr>
            <w:tcW w:w="4680" w:type="dxa"/>
            <w:vAlign w:val="bottom"/>
          </w:tcPr>
          <w:p>
            <w:pPr>
              <w:spacing w:after="0"/>
              <w:rPr>
                <w:sz w:val="24"/>
                <w:szCs w:val="24"/>
                <w:color w:val="auto"/>
              </w:rPr>
            </w:pPr>
          </w:p>
        </w:tc>
      </w:tr>
      <w:tr>
        <w:trPr>
          <w:trHeight w:val="324"/>
        </w:trPr>
        <w:tc>
          <w:tcPr>
            <w:tcW w:w="1480" w:type="dxa"/>
            <w:vAlign w:val="bottom"/>
          </w:tcPr>
          <w:p>
            <w:pPr>
              <w:spacing w:after="0"/>
              <w:rPr>
                <w:sz w:val="24"/>
                <w:szCs w:val="24"/>
                <w:color w:val="auto"/>
              </w:rPr>
            </w:pPr>
          </w:p>
        </w:tc>
        <w:tc>
          <w:tcPr>
            <w:tcW w:w="5280" w:type="dxa"/>
            <w:vAlign w:val="bottom"/>
          </w:tcPr>
          <w:p>
            <w:pPr>
              <w:ind w:left="220"/>
              <w:spacing w:after="0"/>
              <w:rPr>
                <w:sz w:val="20"/>
                <w:szCs w:val="20"/>
                <w:color w:val="auto"/>
              </w:rPr>
            </w:pPr>
            <w:r>
              <w:rPr>
                <w:rFonts w:ascii="Courier New" w:cs="Courier New" w:eastAsia="Courier New" w:hAnsi="Courier New"/>
                <w:sz w:val="18"/>
                <w:szCs w:val="18"/>
                <w:color w:val="auto"/>
              </w:rPr>
              <w:t>9.3%</w:t>
            </w:r>
          </w:p>
        </w:tc>
        <w:tc>
          <w:tcPr>
            <w:tcW w:w="4680" w:type="dxa"/>
            <w:vAlign w:val="bottom"/>
          </w:tcPr>
          <w:p>
            <w:pPr>
              <w:spacing w:after="0"/>
              <w:rPr>
                <w:sz w:val="24"/>
                <w:szCs w:val="24"/>
                <w:color w:val="auto"/>
              </w:rPr>
            </w:pPr>
          </w:p>
        </w:tc>
      </w:tr>
      <w:tr>
        <w:trPr>
          <w:trHeight w:val="338"/>
        </w:trPr>
        <w:tc>
          <w:tcPr>
            <w:tcW w:w="6760" w:type="dxa"/>
            <w:vAlign w:val="bottom"/>
            <w:gridSpan w:val="2"/>
          </w:tcPr>
          <w:p>
            <w:pPr>
              <w:ind w:left="1100"/>
              <w:spacing w:after="0"/>
              <w:rPr>
                <w:sz w:val="20"/>
                <w:szCs w:val="20"/>
                <w:color w:val="auto"/>
              </w:rPr>
            </w:pPr>
            <w:r>
              <w:rPr>
                <w:rFonts w:ascii="Courier New" w:cs="Courier New" w:eastAsia="Courier New" w:hAnsi="Courier New"/>
                <w:sz w:val="18"/>
                <w:szCs w:val="18"/>
                <w:color w:val="auto"/>
              </w:rPr>
              <w:t>(c)   Number of shares as to which the person has:</w:t>
            </w:r>
          </w:p>
        </w:tc>
        <w:tc>
          <w:tcPr>
            <w:tcW w:w="4680" w:type="dxa"/>
            <w:vAlign w:val="bottom"/>
          </w:tcPr>
          <w:p>
            <w:pPr>
              <w:spacing w:after="0"/>
              <w:rPr>
                <w:sz w:val="24"/>
                <w:szCs w:val="24"/>
                <w:color w:val="auto"/>
              </w:rPr>
            </w:pPr>
          </w:p>
        </w:tc>
      </w:tr>
      <w:tr>
        <w:trPr>
          <w:trHeight w:val="338"/>
        </w:trPr>
        <w:tc>
          <w:tcPr>
            <w:tcW w:w="1480" w:type="dxa"/>
            <w:vAlign w:val="bottom"/>
          </w:tcPr>
          <w:p>
            <w:pPr>
              <w:spacing w:after="0"/>
              <w:rPr>
                <w:sz w:val="24"/>
                <w:szCs w:val="24"/>
                <w:color w:val="auto"/>
              </w:rPr>
            </w:pPr>
          </w:p>
        </w:tc>
        <w:tc>
          <w:tcPr>
            <w:tcW w:w="5280" w:type="dxa"/>
            <w:vAlign w:val="bottom"/>
          </w:tcPr>
          <w:p>
            <w:pPr>
              <w:ind w:left="20"/>
              <w:spacing w:after="0"/>
              <w:rPr>
                <w:sz w:val="20"/>
                <w:szCs w:val="20"/>
                <w:color w:val="auto"/>
              </w:rPr>
            </w:pPr>
            <w:r>
              <w:rPr>
                <w:rFonts w:ascii="Courier New" w:cs="Courier New" w:eastAsia="Courier New" w:hAnsi="Courier New"/>
                <w:sz w:val="18"/>
                <w:szCs w:val="18"/>
                <w:color w:val="auto"/>
              </w:rPr>
              <w:t>(i)  Sole power to vote or to direct the vote</w:t>
            </w:r>
          </w:p>
        </w:tc>
        <w:tc>
          <w:tcPr>
            <w:tcW w:w="4680" w:type="dxa"/>
            <w:vAlign w:val="bottom"/>
          </w:tcPr>
          <w:p>
            <w:pPr>
              <w:spacing w:after="0"/>
              <w:rPr>
                <w:sz w:val="24"/>
                <w:szCs w:val="24"/>
                <w:color w:val="auto"/>
              </w:rPr>
            </w:pPr>
          </w:p>
        </w:tc>
      </w:tr>
      <w:tr>
        <w:trPr>
          <w:trHeight w:val="338"/>
        </w:trPr>
        <w:tc>
          <w:tcPr>
            <w:tcW w:w="1480" w:type="dxa"/>
            <w:vAlign w:val="bottom"/>
          </w:tcPr>
          <w:p>
            <w:pPr>
              <w:spacing w:after="0"/>
              <w:rPr>
                <w:sz w:val="24"/>
                <w:szCs w:val="24"/>
                <w:color w:val="auto"/>
              </w:rPr>
            </w:pPr>
          </w:p>
        </w:tc>
        <w:tc>
          <w:tcPr>
            <w:tcW w:w="5280" w:type="dxa"/>
            <w:vAlign w:val="bottom"/>
          </w:tcPr>
          <w:p>
            <w:pPr>
              <w:ind w:left="520"/>
              <w:spacing w:after="0"/>
              <w:rPr>
                <w:sz w:val="20"/>
                <w:szCs w:val="20"/>
                <w:color w:val="auto"/>
              </w:rPr>
            </w:pPr>
            <w:r>
              <w:rPr>
                <w:rFonts w:ascii="Courier New" w:cs="Courier New" w:eastAsia="Courier New" w:hAnsi="Courier New"/>
                <w:sz w:val="18"/>
                <w:szCs w:val="18"/>
                <w:color w:val="auto"/>
              </w:rPr>
              <w:t>Franklin Resources, Inc.:</w:t>
            </w:r>
          </w:p>
        </w:tc>
        <w:tc>
          <w:tcPr>
            <w:tcW w:w="4680" w:type="dxa"/>
            <w:vAlign w:val="bottom"/>
          </w:tcPr>
          <w:p>
            <w:pPr>
              <w:jc w:val="right"/>
              <w:ind w:right="3510"/>
              <w:spacing w:after="0"/>
              <w:rPr>
                <w:sz w:val="20"/>
                <w:szCs w:val="20"/>
                <w:color w:val="auto"/>
              </w:rPr>
            </w:pPr>
            <w:r>
              <w:rPr>
                <w:rFonts w:ascii="Courier New" w:cs="Courier New" w:eastAsia="Courier New" w:hAnsi="Courier New"/>
                <w:sz w:val="18"/>
                <w:szCs w:val="18"/>
                <w:color w:val="auto"/>
              </w:rPr>
              <w:t>0</w:t>
            </w:r>
          </w:p>
        </w:tc>
      </w:tr>
      <w:tr>
        <w:trPr>
          <w:trHeight w:val="338"/>
        </w:trPr>
        <w:tc>
          <w:tcPr>
            <w:tcW w:w="1480" w:type="dxa"/>
            <w:vAlign w:val="bottom"/>
          </w:tcPr>
          <w:p>
            <w:pPr>
              <w:spacing w:after="0"/>
              <w:rPr>
                <w:sz w:val="24"/>
                <w:szCs w:val="24"/>
                <w:color w:val="auto"/>
              </w:rPr>
            </w:pPr>
          </w:p>
        </w:tc>
        <w:tc>
          <w:tcPr>
            <w:tcW w:w="5280" w:type="dxa"/>
            <w:vAlign w:val="bottom"/>
          </w:tcPr>
          <w:p>
            <w:pPr>
              <w:ind w:left="520"/>
              <w:spacing w:after="0"/>
              <w:rPr>
                <w:sz w:val="20"/>
                <w:szCs w:val="20"/>
                <w:color w:val="auto"/>
              </w:rPr>
            </w:pPr>
            <w:r>
              <w:rPr>
                <w:rFonts w:ascii="Courier New" w:cs="Courier New" w:eastAsia="Courier New" w:hAnsi="Courier New"/>
                <w:sz w:val="18"/>
                <w:szCs w:val="18"/>
                <w:color w:val="auto"/>
              </w:rPr>
              <w:t>Charles B. Johnson:</w:t>
            </w:r>
          </w:p>
        </w:tc>
        <w:tc>
          <w:tcPr>
            <w:tcW w:w="4680" w:type="dxa"/>
            <w:vAlign w:val="bottom"/>
          </w:tcPr>
          <w:p>
            <w:pPr>
              <w:jc w:val="right"/>
              <w:ind w:right="3510"/>
              <w:spacing w:after="0"/>
              <w:rPr>
                <w:sz w:val="20"/>
                <w:szCs w:val="20"/>
                <w:color w:val="auto"/>
              </w:rPr>
            </w:pPr>
            <w:r>
              <w:rPr>
                <w:rFonts w:ascii="Courier New" w:cs="Courier New" w:eastAsia="Courier New" w:hAnsi="Courier New"/>
                <w:sz w:val="18"/>
                <w:szCs w:val="18"/>
                <w:color w:val="auto"/>
              </w:rPr>
              <w:t>0</w:t>
            </w:r>
          </w:p>
        </w:tc>
      </w:tr>
      <w:tr>
        <w:trPr>
          <w:trHeight w:val="338"/>
        </w:trPr>
        <w:tc>
          <w:tcPr>
            <w:tcW w:w="1480" w:type="dxa"/>
            <w:vAlign w:val="bottom"/>
          </w:tcPr>
          <w:p>
            <w:pPr>
              <w:spacing w:after="0"/>
              <w:rPr>
                <w:sz w:val="24"/>
                <w:szCs w:val="24"/>
                <w:color w:val="auto"/>
              </w:rPr>
            </w:pPr>
          </w:p>
        </w:tc>
        <w:tc>
          <w:tcPr>
            <w:tcW w:w="5280" w:type="dxa"/>
            <w:vAlign w:val="bottom"/>
          </w:tcPr>
          <w:p>
            <w:pPr>
              <w:ind w:left="520"/>
              <w:spacing w:after="0"/>
              <w:rPr>
                <w:sz w:val="20"/>
                <w:szCs w:val="20"/>
                <w:color w:val="auto"/>
              </w:rPr>
            </w:pPr>
            <w:r>
              <w:rPr>
                <w:rFonts w:ascii="Courier New" w:cs="Courier New" w:eastAsia="Courier New" w:hAnsi="Courier New"/>
                <w:sz w:val="18"/>
                <w:szCs w:val="18"/>
                <w:color w:val="auto"/>
              </w:rPr>
              <w:t>Rupert H. Johnson, Jr.:</w:t>
            </w:r>
          </w:p>
        </w:tc>
        <w:tc>
          <w:tcPr>
            <w:tcW w:w="4680" w:type="dxa"/>
            <w:vAlign w:val="bottom"/>
          </w:tcPr>
          <w:p>
            <w:pPr>
              <w:jc w:val="right"/>
              <w:ind w:right="3510"/>
              <w:spacing w:after="0"/>
              <w:rPr>
                <w:sz w:val="20"/>
                <w:szCs w:val="20"/>
                <w:color w:val="auto"/>
              </w:rPr>
            </w:pPr>
            <w:r>
              <w:rPr>
                <w:rFonts w:ascii="Courier New" w:cs="Courier New" w:eastAsia="Courier New" w:hAnsi="Courier New"/>
                <w:sz w:val="18"/>
                <w:szCs w:val="18"/>
                <w:color w:val="auto"/>
              </w:rPr>
              <w:t>0</w:t>
            </w:r>
          </w:p>
        </w:tc>
      </w:tr>
      <w:tr>
        <w:trPr>
          <w:trHeight w:val="324"/>
        </w:trPr>
        <w:tc>
          <w:tcPr>
            <w:tcW w:w="1480" w:type="dxa"/>
            <w:vAlign w:val="bottom"/>
          </w:tcPr>
          <w:p>
            <w:pPr>
              <w:spacing w:after="0"/>
              <w:rPr>
                <w:sz w:val="24"/>
                <w:szCs w:val="24"/>
                <w:color w:val="auto"/>
              </w:rPr>
            </w:pPr>
          </w:p>
        </w:tc>
        <w:tc>
          <w:tcPr>
            <w:tcW w:w="5280" w:type="dxa"/>
            <w:vAlign w:val="bottom"/>
          </w:tcPr>
          <w:p>
            <w:pPr>
              <w:ind w:left="520"/>
              <w:spacing w:after="0"/>
              <w:rPr>
                <w:sz w:val="20"/>
                <w:szCs w:val="20"/>
                <w:color w:val="auto"/>
              </w:rPr>
            </w:pPr>
            <w:r>
              <w:rPr>
                <w:rFonts w:ascii="Courier New" w:cs="Courier New" w:eastAsia="Courier New" w:hAnsi="Courier New"/>
                <w:sz w:val="18"/>
                <w:szCs w:val="18"/>
                <w:color w:val="auto"/>
              </w:rPr>
              <w:t>Franklin Templeton Investments Corp.:</w:t>
            </w:r>
          </w:p>
        </w:tc>
        <w:tc>
          <w:tcPr>
            <w:tcW w:w="4680" w:type="dxa"/>
            <w:vAlign w:val="bottom"/>
          </w:tcPr>
          <w:p>
            <w:pPr>
              <w:jc w:val="right"/>
              <w:ind w:right="3510"/>
              <w:spacing w:after="0"/>
              <w:rPr>
                <w:sz w:val="20"/>
                <w:szCs w:val="20"/>
                <w:color w:val="auto"/>
              </w:rPr>
            </w:pPr>
            <w:r>
              <w:rPr>
                <w:rFonts w:ascii="Courier New" w:cs="Courier New" w:eastAsia="Courier New" w:hAnsi="Courier New"/>
                <w:sz w:val="18"/>
                <w:szCs w:val="18"/>
                <w:color w:val="auto"/>
              </w:rPr>
              <w:t>540,214</w:t>
            </w:r>
          </w:p>
        </w:tc>
      </w:tr>
      <w:tr>
        <w:trPr>
          <w:trHeight w:val="324"/>
        </w:trPr>
        <w:tc>
          <w:tcPr>
            <w:tcW w:w="1480" w:type="dxa"/>
            <w:vAlign w:val="bottom"/>
          </w:tcPr>
          <w:p>
            <w:pPr>
              <w:spacing w:after="0"/>
              <w:rPr>
                <w:sz w:val="24"/>
                <w:szCs w:val="24"/>
                <w:color w:val="auto"/>
              </w:rPr>
            </w:pPr>
          </w:p>
        </w:tc>
        <w:tc>
          <w:tcPr>
            <w:tcW w:w="5280" w:type="dxa"/>
            <w:vAlign w:val="bottom"/>
          </w:tcPr>
          <w:p>
            <w:pPr>
              <w:ind w:left="520"/>
              <w:spacing w:after="0"/>
              <w:rPr>
                <w:sz w:val="20"/>
                <w:szCs w:val="20"/>
                <w:color w:val="auto"/>
              </w:rPr>
            </w:pPr>
            <w:r>
              <w:rPr>
                <w:rFonts w:ascii="Courier New" w:cs="Courier New" w:eastAsia="Courier New" w:hAnsi="Courier New"/>
                <w:sz w:val="18"/>
                <w:szCs w:val="18"/>
                <w:color w:val="auto"/>
              </w:rPr>
              <w:t>Franklin Templeton Investment Management</w:t>
            </w:r>
          </w:p>
        </w:tc>
        <w:tc>
          <w:tcPr>
            <w:tcW w:w="4680" w:type="dxa"/>
            <w:vAlign w:val="bottom"/>
          </w:tcPr>
          <w:p>
            <w:pPr>
              <w:jc w:val="right"/>
              <w:ind w:right="3510"/>
              <w:spacing w:after="0"/>
              <w:rPr>
                <w:sz w:val="20"/>
                <w:szCs w:val="20"/>
                <w:color w:val="auto"/>
              </w:rPr>
            </w:pPr>
            <w:r>
              <w:rPr>
                <w:rFonts w:ascii="Courier New" w:cs="Courier New" w:eastAsia="Courier New" w:hAnsi="Courier New"/>
                <w:sz w:val="18"/>
                <w:szCs w:val="18"/>
                <w:color w:val="auto"/>
              </w:rPr>
              <w:t>349,240</w:t>
            </w:r>
          </w:p>
        </w:tc>
      </w:tr>
      <w:tr>
        <w:trPr>
          <w:trHeight w:val="230"/>
        </w:trPr>
        <w:tc>
          <w:tcPr>
            <w:tcW w:w="1480" w:type="dxa"/>
            <w:vAlign w:val="bottom"/>
          </w:tcPr>
          <w:p>
            <w:pPr>
              <w:spacing w:after="0"/>
              <w:rPr>
                <w:sz w:val="19"/>
                <w:szCs w:val="19"/>
                <w:color w:val="auto"/>
              </w:rPr>
            </w:pPr>
          </w:p>
        </w:tc>
        <w:tc>
          <w:tcPr>
            <w:tcW w:w="5280" w:type="dxa"/>
            <w:vAlign w:val="bottom"/>
          </w:tcPr>
          <w:p>
            <w:pPr>
              <w:ind w:left="520"/>
              <w:spacing w:after="0"/>
              <w:rPr>
                <w:sz w:val="20"/>
                <w:szCs w:val="20"/>
                <w:color w:val="auto"/>
              </w:rPr>
            </w:pPr>
            <w:r>
              <w:rPr>
                <w:rFonts w:ascii="Courier New" w:cs="Courier New" w:eastAsia="Courier New" w:hAnsi="Courier New"/>
                <w:sz w:val="18"/>
                <w:szCs w:val="18"/>
                <w:color w:val="auto"/>
              </w:rPr>
              <w:t>Limited:</w:t>
            </w:r>
          </w:p>
        </w:tc>
        <w:tc>
          <w:tcPr>
            <w:tcW w:w="4680" w:type="dxa"/>
            <w:vAlign w:val="bottom"/>
          </w:tcPr>
          <w:p>
            <w:pPr>
              <w:spacing w:after="0"/>
              <w:rPr>
                <w:sz w:val="19"/>
                <w:szCs w:val="19"/>
                <w:color w:val="auto"/>
              </w:rPr>
            </w:pPr>
          </w:p>
        </w:tc>
      </w:tr>
      <w:tr>
        <w:trPr>
          <w:trHeight w:val="216"/>
        </w:trPr>
        <w:tc>
          <w:tcPr>
            <w:tcW w:w="1480" w:type="dxa"/>
            <w:vAlign w:val="bottom"/>
          </w:tcPr>
          <w:p>
            <w:pPr>
              <w:spacing w:after="0"/>
              <w:rPr>
                <w:sz w:val="18"/>
                <w:szCs w:val="18"/>
                <w:color w:val="auto"/>
              </w:rPr>
            </w:pPr>
          </w:p>
        </w:tc>
        <w:tc>
          <w:tcPr>
            <w:tcW w:w="5280" w:type="dxa"/>
            <w:vAlign w:val="bottom"/>
          </w:tcPr>
          <w:p>
            <w:pPr>
              <w:ind w:left="520"/>
              <w:spacing w:after="0"/>
              <w:rPr>
                <w:sz w:val="20"/>
                <w:szCs w:val="20"/>
                <w:color w:val="auto"/>
              </w:rPr>
            </w:pPr>
            <w:r>
              <w:rPr>
                <w:rFonts w:ascii="Courier New" w:cs="Courier New" w:eastAsia="Courier New" w:hAnsi="Courier New"/>
                <w:sz w:val="18"/>
                <w:szCs w:val="18"/>
                <w:color w:val="auto"/>
              </w:rPr>
              <w:t>Templeton Investment Counsel, LLC:</w:t>
            </w:r>
          </w:p>
        </w:tc>
        <w:tc>
          <w:tcPr>
            <w:tcW w:w="4680" w:type="dxa"/>
            <w:vAlign w:val="bottom"/>
          </w:tcPr>
          <w:p>
            <w:pPr>
              <w:jc w:val="right"/>
              <w:ind w:right="3510"/>
              <w:spacing w:after="0"/>
              <w:rPr>
                <w:sz w:val="20"/>
                <w:szCs w:val="20"/>
                <w:color w:val="auto"/>
              </w:rPr>
            </w:pPr>
            <w:r>
              <w:rPr>
                <w:rFonts w:ascii="Courier New" w:cs="Courier New" w:eastAsia="Courier New" w:hAnsi="Courier New"/>
                <w:sz w:val="18"/>
                <w:szCs w:val="18"/>
                <w:color w:val="auto"/>
              </w:rPr>
              <w:t>2,726,965</w:t>
            </w:r>
          </w:p>
        </w:tc>
      </w:tr>
      <w:tr>
        <w:trPr>
          <w:trHeight w:val="311"/>
        </w:trPr>
        <w:tc>
          <w:tcPr>
            <w:tcW w:w="1480" w:type="dxa"/>
            <w:vAlign w:val="bottom"/>
          </w:tcPr>
          <w:p>
            <w:pPr>
              <w:spacing w:after="0"/>
              <w:rPr>
                <w:sz w:val="24"/>
                <w:szCs w:val="24"/>
                <w:color w:val="auto"/>
              </w:rPr>
            </w:pPr>
          </w:p>
        </w:tc>
        <w:tc>
          <w:tcPr>
            <w:tcW w:w="5280" w:type="dxa"/>
            <w:vAlign w:val="bottom"/>
          </w:tcPr>
          <w:p>
            <w:pPr>
              <w:ind w:left="520"/>
              <w:spacing w:after="0"/>
              <w:rPr>
                <w:sz w:val="20"/>
                <w:szCs w:val="20"/>
                <w:color w:val="auto"/>
              </w:rPr>
            </w:pPr>
            <w:r>
              <w:rPr>
                <w:rFonts w:ascii="Courier New" w:cs="Courier New" w:eastAsia="Courier New" w:hAnsi="Courier New"/>
                <w:sz w:val="18"/>
                <w:szCs w:val="18"/>
                <w:color w:val="auto"/>
              </w:rPr>
              <w:t>Franklin Advisers, Inc.:</w:t>
            </w:r>
          </w:p>
        </w:tc>
        <w:tc>
          <w:tcPr>
            <w:tcW w:w="4680" w:type="dxa"/>
            <w:vAlign w:val="bottom"/>
          </w:tcPr>
          <w:p>
            <w:pPr>
              <w:jc w:val="right"/>
              <w:ind w:right="3510"/>
              <w:spacing w:after="0"/>
              <w:rPr>
                <w:sz w:val="20"/>
                <w:szCs w:val="20"/>
                <w:color w:val="auto"/>
              </w:rPr>
            </w:pPr>
            <w:r>
              <w:rPr>
                <w:rFonts w:ascii="Courier New" w:cs="Courier New" w:eastAsia="Courier New" w:hAnsi="Courier New"/>
                <w:sz w:val="18"/>
                <w:szCs w:val="18"/>
                <w:color w:val="auto"/>
              </w:rPr>
              <w:t>2,480</w:t>
            </w:r>
          </w:p>
        </w:tc>
      </w:tr>
      <w:tr>
        <w:trPr>
          <w:trHeight w:val="311"/>
        </w:trPr>
        <w:tc>
          <w:tcPr>
            <w:tcW w:w="1480" w:type="dxa"/>
            <w:vAlign w:val="bottom"/>
          </w:tcPr>
          <w:p>
            <w:pPr>
              <w:spacing w:after="0"/>
              <w:rPr>
                <w:sz w:val="24"/>
                <w:szCs w:val="24"/>
                <w:color w:val="auto"/>
              </w:rPr>
            </w:pPr>
          </w:p>
        </w:tc>
        <w:tc>
          <w:tcPr>
            <w:tcW w:w="5280" w:type="dxa"/>
            <w:vAlign w:val="bottom"/>
          </w:tcPr>
          <w:p>
            <w:pPr>
              <w:ind w:left="520"/>
              <w:spacing w:after="0"/>
              <w:rPr>
                <w:sz w:val="20"/>
                <w:szCs w:val="20"/>
                <w:color w:val="auto"/>
              </w:rPr>
            </w:pPr>
            <w:r>
              <w:rPr>
                <w:rFonts w:ascii="Courier New" w:cs="Courier New" w:eastAsia="Courier New" w:hAnsi="Courier New"/>
                <w:sz w:val="18"/>
                <w:szCs w:val="18"/>
                <w:color w:val="auto"/>
              </w:rPr>
              <w:t>Franklin Templeton Investments (Asia) Ltd.:</w:t>
            </w:r>
          </w:p>
        </w:tc>
        <w:tc>
          <w:tcPr>
            <w:tcW w:w="4680" w:type="dxa"/>
            <w:vAlign w:val="bottom"/>
          </w:tcPr>
          <w:p>
            <w:pPr>
              <w:jc w:val="right"/>
              <w:ind w:right="3510"/>
              <w:spacing w:after="0"/>
              <w:rPr>
                <w:sz w:val="20"/>
                <w:szCs w:val="20"/>
                <w:color w:val="auto"/>
              </w:rPr>
            </w:pPr>
            <w:r>
              <w:rPr>
                <w:rFonts w:ascii="Courier New" w:cs="Courier New" w:eastAsia="Courier New" w:hAnsi="Courier New"/>
                <w:sz w:val="18"/>
                <w:szCs w:val="18"/>
                <w:color w:val="auto"/>
              </w:rPr>
              <w:t>25,057</w:t>
            </w:r>
          </w:p>
        </w:tc>
      </w:tr>
      <w:tr>
        <w:trPr>
          <w:trHeight w:val="311"/>
        </w:trPr>
        <w:tc>
          <w:tcPr>
            <w:tcW w:w="1480" w:type="dxa"/>
            <w:vAlign w:val="bottom"/>
          </w:tcPr>
          <w:p>
            <w:pPr>
              <w:spacing w:after="0"/>
              <w:rPr>
                <w:sz w:val="24"/>
                <w:szCs w:val="24"/>
                <w:color w:val="auto"/>
              </w:rPr>
            </w:pPr>
          </w:p>
        </w:tc>
        <w:tc>
          <w:tcPr>
            <w:tcW w:w="5280" w:type="dxa"/>
            <w:vAlign w:val="bottom"/>
          </w:tcPr>
          <w:p>
            <w:pPr>
              <w:ind w:left="520"/>
              <w:spacing w:after="0"/>
              <w:rPr>
                <w:sz w:val="20"/>
                <w:szCs w:val="20"/>
                <w:color w:val="auto"/>
              </w:rPr>
            </w:pPr>
            <w:r>
              <w:rPr>
                <w:rFonts w:ascii="Courier New" w:cs="Courier New" w:eastAsia="Courier New" w:hAnsi="Courier New"/>
                <w:sz w:val="18"/>
                <w:szCs w:val="18"/>
                <w:color w:val="auto"/>
              </w:rPr>
              <w:t>Templeton Global Advisors Limited:</w:t>
            </w:r>
          </w:p>
        </w:tc>
        <w:tc>
          <w:tcPr>
            <w:tcW w:w="4680" w:type="dxa"/>
            <w:vAlign w:val="bottom"/>
          </w:tcPr>
          <w:p>
            <w:pPr>
              <w:jc w:val="right"/>
              <w:ind w:right="3510"/>
              <w:spacing w:after="0"/>
              <w:rPr>
                <w:sz w:val="20"/>
                <w:szCs w:val="20"/>
                <w:color w:val="auto"/>
              </w:rPr>
            </w:pPr>
            <w:r>
              <w:rPr>
                <w:rFonts w:ascii="Courier New" w:cs="Courier New" w:eastAsia="Courier New" w:hAnsi="Courier New"/>
                <w:sz w:val="18"/>
                <w:szCs w:val="18"/>
                <w:color w:val="auto"/>
              </w:rPr>
              <w:t>280,450</w:t>
            </w:r>
          </w:p>
        </w:tc>
      </w:tr>
      <w:tr>
        <w:trPr>
          <w:trHeight w:val="944"/>
        </w:trPr>
        <w:tc>
          <w:tcPr>
            <w:tcW w:w="1480" w:type="dxa"/>
            <w:vAlign w:val="bottom"/>
            <w:tcBorders>
              <w:bottom w:val="single" w:sz="8" w:color="808080"/>
            </w:tcBorders>
          </w:tcPr>
          <w:p>
            <w:pPr>
              <w:spacing w:after="0"/>
              <w:rPr>
                <w:sz w:val="24"/>
                <w:szCs w:val="24"/>
                <w:color w:val="auto"/>
              </w:rPr>
            </w:pPr>
          </w:p>
        </w:tc>
        <w:tc>
          <w:tcPr>
            <w:tcW w:w="5280" w:type="dxa"/>
            <w:vAlign w:val="bottom"/>
            <w:tcBorders>
              <w:bottom w:val="single" w:sz="8" w:color="808080"/>
            </w:tcBorders>
          </w:tcPr>
          <w:p>
            <w:pPr>
              <w:spacing w:after="0"/>
              <w:rPr>
                <w:sz w:val="24"/>
                <w:szCs w:val="24"/>
                <w:color w:val="auto"/>
              </w:rPr>
            </w:pPr>
          </w:p>
        </w:tc>
        <w:tc>
          <w:tcPr>
            <w:tcW w:w="4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906" w:right="219" w:bottom="748" w:gutter="0" w:footer="0" w:header="0"/>
        </w:sectPr>
      </w:pPr>
    </w:p>
    <w:bookmarkStart w:id="8" w:name="page9"/>
    <w:bookmarkEnd w:id="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spacing w:after="0"/>
        <w:tabs>
          <w:tab w:leader="none" w:pos="4960" w:val="left"/>
          <w:tab w:leader="none" w:pos="560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tab/>
        <w:t>Page 9 of 14</w:t>
      </w:r>
    </w:p>
    <w:p>
      <w:pPr>
        <w:spacing w:after="0" w:line="190" w:lineRule="exact"/>
        <w:rPr>
          <w:sz w:val="20"/>
          <w:szCs w:val="20"/>
          <w:color w:val="auto"/>
        </w:rPr>
      </w:pPr>
    </w:p>
    <w:p>
      <w:pPr>
        <w:ind w:left="1860" w:right="3679" w:hanging="802"/>
        <w:spacing w:after="0" w:line="283" w:lineRule="auto"/>
        <w:tabs>
          <w:tab w:leader="none" w:pos="169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19" w:lineRule="exact"/>
        <w:rPr>
          <w:sz w:val="20"/>
          <w:szCs w:val="20"/>
          <w:color w:val="auto"/>
        </w:rPr>
      </w:pPr>
    </w:p>
    <w:p>
      <w:pPr>
        <w:ind w:left="1760" w:hanging="752"/>
        <w:spacing w:after="0"/>
        <w:tabs>
          <w:tab w:leader="none" w:pos="17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134"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476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10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38"/>
        </w:trPr>
        <w:tc>
          <w:tcPr>
            <w:tcW w:w="476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10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38"/>
        </w:trPr>
        <w:tc>
          <w:tcPr>
            <w:tcW w:w="476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10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24"/>
        </w:trPr>
        <w:tc>
          <w:tcPr>
            <w:tcW w:w="4760" w:type="dxa"/>
            <w:vAlign w:val="bottom"/>
          </w:tcPr>
          <w:p>
            <w:pPr>
              <w:spacing w:after="0"/>
              <w:rPr>
                <w:sz w:val="20"/>
                <w:szCs w:val="20"/>
                <w:color w:val="auto"/>
              </w:rPr>
            </w:pPr>
            <w:r>
              <w:rPr>
                <w:rFonts w:ascii="Courier New" w:cs="Courier New" w:eastAsia="Courier New" w:hAnsi="Courier New"/>
                <w:sz w:val="18"/>
                <w:szCs w:val="18"/>
                <w:color w:val="auto"/>
              </w:rPr>
              <w:t>Templeton Investment Counsel, LLC:</w:t>
            </w:r>
          </w:p>
        </w:tc>
        <w:tc>
          <w:tcPr>
            <w:tcW w:w="1080" w:type="dxa"/>
            <w:vAlign w:val="bottom"/>
          </w:tcPr>
          <w:p>
            <w:pPr>
              <w:jc w:val="right"/>
              <w:spacing w:after="0"/>
              <w:rPr>
                <w:sz w:val="20"/>
                <w:szCs w:val="20"/>
                <w:color w:val="auto"/>
              </w:rPr>
            </w:pPr>
            <w:r>
              <w:rPr>
                <w:rFonts w:ascii="Courier New" w:cs="Courier New" w:eastAsia="Courier New" w:hAnsi="Courier New"/>
                <w:sz w:val="18"/>
                <w:szCs w:val="18"/>
                <w:color w:val="auto"/>
              </w:rPr>
              <w:t>3,282,784</w:t>
            </w:r>
          </w:p>
        </w:tc>
      </w:tr>
      <w:tr>
        <w:trPr>
          <w:trHeight w:val="324"/>
        </w:trPr>
        <w:tc>
          <w:tcPr>
            <w:tcW w:w="4760" w:type="dxa"/>
            <w:vAlign w:val="bottom"/>
          </w:tcPr>
          <w:p>
            <w:pPr>
              <w:spacing w:after="0"/>
              <w:rPr>
                <w:sz w:val="20"/>
                <w:szCs w:val="20"/>
                <w:color w:val="auto"/>
              </w:rPr>
            </w:pPr>
            <w:r>
              <w:rPr>
                <w:rFonts w:ascii="Courier New" w:cs="Courier New" w:eastAsia="Courier New" w:hAnsi="Courier New"/>
                <w:sz w:val="18"/>
                <w:szCs w:val="18"/>
                <w:color w:val="auto"/>
              </w:rPr>
              <w:t>Franklin Templeton Investments Corp.:</w:t>
            </w:r>
          </w:p>
        </w:tc>
        <w:tc>
          <w:tcPr>
            <w:tcW w:w="1080" w:type="dxa"/>
            <w:vAlign w:val="bottom"/>
          </w:tcPr>
          <w:p>
            <w:pPr>
              <w:jc w:val="right"/>
              <w:spacing w:after="0"/>
              <w:rPr>
                <w:sz w:val="20"/>
                <w:szCs w:val="20"/>
                <w:color w:val="auto"/>
              </w:rPr>
            </w:pPr>
            <w:r>
              <w:rPr>
                <w:rFonts w:ascii="Courier New" w:cs="Courier New" w:eastAsia="Courier New" w:hAnsi="Courier New"/>
                <w:sz w:val="18"/>
                <w:szCs w:val="18"/>
                <w:color w:val="auto"/>
              </w:rPr>
              <w:t>540,214</w:t>
            </w:r>
          </w:p>
        </w:tc>
      </w:tr>
      <w:tr>
        <w:trPr>
          <w:trHeight w:val="338"/>
        </w:trPr>
        <w:tc>
          <w:tcPr>
            <w:tcW w:w="4760" w:type="dxa"/>
            <w:vAlign w:val="bottom"/>
          </w:tcPr>
          <w:p>
            <w:pPr>
              <w:spacing w:after="0"/>
              <w:rPr>
                <w:sz w:val="20"/>
                <w:szCs w:val="20"/>
                <w:color w:val="auto"/>
              </w:rPr>
            </w:pPr>
            <w:r>
              <w:rPr>
                <w:rFonts w:ascii="Courier New" w:cs="Courier New" w:eastAsia="Courier New" w:hAnsi="Courier New"/>
                <w:sz w:val="18"/>
                <w:szCs w:val="18"/>
                <w:color w:val="auto"/>
              </w:rPr>
              <w:t>Franklin Templeton Investment Management</w:t>
            </w:r>
          </w:p>
        </w:tc>
        <w:tc>
          <w:tcPr>
            <w:tcW w:w="1080" w:type="dxa"/>
            <w:vAlign w:val="bottom"/>
          </w:tcPr>
          <w:p>
            <w:pPr>
              <w:jc w:val="right"/>
              <w:spacing w:after="0"/>
              <w:rPr>
                <w:sz w:val="20"/>
                <w:szCs w:val="20"/>
                <w:color w:val="auto"/>
              </w:rPr>
            </w:pPr>
            <w:r>
              <w:rPr>
                <w:rFonts w:ascii="Courier New" w:cs="Courier New" w:eastAsia="Courier New" w:hAnsi="Courier New"/>
                <w:sz w:val="18"/>
                <w:szCs w:val="18"/>
                <w:color w:val="auto"/>
              </w:rPr>
              <w:t>381,600</w:t>
            </w:r>
          </w:p>
        </w:tc>
      </w:tr>
      <w:tr>
        <w:trPr>
          <w:trHeight w:val="230"/>
        </w:trPr>
        <w:tc>
          <w:tcPr>
            <w:tcW w:w="4760" w:type="dxa"/>
            <w:vAlign w:val="bottom"/>
          </w:tcPr>
          <w:p>
            <w:pPr>
              <w:spacing w:after="0"/>
              <w:rPr>
                <w:sz w:val="20"/>
                <w:szCs w:val="20"/>
                <w:color w:val="auto"/>
              </w:rPr>
            </w:pPr>
            <w:r>
              <w:rPr>
                <w:rFonts w:ascii="Courier New" w:cs="Courier New" w:eastAsia="Courier New" w:hAnsi="Courier New"/>
                <w:sz w:val="18"/>
                <w:szCs w:val="18"/>
                <w:color w:val="auto"/>
              </w:rPr>
              <w:t>Limited:</w:t>
            </w:r>
          </w:p>
        </w:tc>
        <w:tc>
          <w:tcPr>
            <w:tcW w:w="1080" w:type="dxa"/>
            <w:vAlign w:val="bottom"/>
          </w:tcPr>
          <w:p>
            <w:pPr>
              <w:spacing w:after="0"/>
              <w:rPr>
                <w:sz w:val="19"/>
                <w:szCs w:val="19"/>
                <w:color w:val="auto"/>
              </w:rPr>
            </w:pPr>
          </w:p>
        </w:tc>
      </w:tr>
      <w:tr>
        <w:trPr>
          <w:trHeight w:val="216"/>
        </w:trPr>
        <w:tc>
          <w:tcPr>
            <w:tcW w:w="4760" w:type="dxa"/>
            <w:vAlign w:val="bottom"/>
          </w:tcPr>
          <w:p>
            <w:pPr>
              <w:spacing w:after="0"/>
              <w:rPr>
                <w:sz w:val="20"/>
                <w:szCs w:val="20"/>
                <w:color w:val="auto"/>
              </w:rPr>
            </w:pPr>
            <w:r>
              <w:rPr>
                <w:rFonts w:ascii="Courier New" w:cs="Courier New" w:eastAsia="Courier New" w:hAnsi="Courier New"/>
                <w:sz w:val="18"/>
                <w:szCs w:val="18"/>
                <w:color w:val="auto"/>
              </w:rPr>
              <w:t>Templeton Global Advisors Limited:</w:t>
            </w:r>
          </w:p>
        </w:tc>
        <w:tc>
          <w:tcPr>
            <w:tcW w:w="1080" w:type="dxa"/>
            <w:vAlign w:val="bottom"/>
          </w:tcPr>
          <w:p>
            <w:pPr>
              <w:jc w:val="right"/>
              <w:spacing w:after="0"/>
              <w:rPr>
                <w:sz w:val="20"/>
                <w:szCs w:val="20"/>
                <w:color w:val="auto"/>
              </w:rPr>
            </w:pPr>
            <w:r>
              <w:rPr>
                <w:rFonts w:ascii="Courier New" w:cs="Courier New" w:eastAsia="Courier New" w:hAnsi="Courier New"/>
                <w:sz w:val="18"/>
                <w:szCs w:val="18"/>
                <w:color w:val="auto"/>
              </w:rPr>
              <w:t>280,450</w:t>
            </w:r>
          </w:p>
        </w:tc>
      </w:tr>
      <w:tr>
        <w:trPr>
          <w:trHeight w:val="324"/>
        </w:trPr>
        <w:tc>
          <w:tcPr>
            <w:tcW w:w="4760" w:type="dxa"/>
            <w:vAlign w:val="bottom"/>
          </w:tcPr>
          <w:p>
            <w:pPr>
              <w:spacing w:after="0"/>
              <w:rPr>
                <w:sz w:val="20"/>
                <w:szCs w:val="20"/>
                <w:color w:val="auto"/>
              </w:rPr>
            </w:pPr>
            <w:r>
              <w:rPr>
                <w:rFonts w:ascii="Courier New" w:cs="Courier New" w:eastAsia="Courier New" w:hAnsi="Courier New"/>
                <w:sz w:val="18"/>
                <w:szCs w:val="18"/>
                <w:color w:val="auto"/>
              </w:rPr>
              <w:t>Franklin Templeton Investments (Asia) Ltd.:</w:t>
            </w:r>
          </w:p>
        </w:tc>
        <w:tc>
          <w:tcPr>
            <w:tcW w:w="1080" w:type="dxa"/>
            <w:vAlign w:val="bottom"/>
          </w:tcPr>
          <w:p>
            <w:pPr>
              <w:jc w:val="right"/>
              <w:spacing w:after="0"/>
              <w:rPr>
                <w:sz w:val="20"/>
                <w:szCs w:val="20"/>
                <w:color w:val="auto"/>
              </w:rPr>
            </w:pPr>
            <w:r>
              <w:rPr>
                <w:rFonts w:ascii="Courier New" w:cs="Courier New" w:eastAsia="Courier New" w:hAnsi="Courier New"/>
                <w:sz w:val="18"/>
                <w:szCs w:val="18"/>
                <w:color w:val="auto"/>
              </w:rPr>
              <w:t>25,057</w:t>
            </w:r>
          </w:p>
        </w:tc>
      </w:tr>
      <w:tr>
        <w:trPr>
          <w:trHeight w:val="324"/>
        </w:trPr>
        <w:tc>
          <w:tcPr>
            <w:tcW w:w="4760" w:type="dxa"/>
            <w:vAlign w:val="bottom"/>
          </w:tcPr>
          <w:p>
            <w:pPr>
              <w:spacing w:after="0"/>
              <w:rPr>
                <w:sz w:val="20"/>
                <w:szCs w:val="20"/>
                <w:color w:val="auto"/>
              </w:rPr>
            </w:pPr>
            <w:r>
              <w:rPr>
                <w:rFonts w:ascii="Courier New" w:cs="Courier New" w:eastAsia="Courier New" w:hAnsi="Courier New"/>
                <w:sz w:val="18"/>
                <w:szCs w:val="18"/>
                <w:color w:val="auto"/>
              </w:rPr>
              <w:t>Franklin Advisers, Inc.:</w:t>
            </w:r>
          </w:p>
        </w:tc>
        <w:tc>
          <w:tcPr>
            <w:tcW w:w="1080" w:type="dxa"/>
            <w:vAlign w:val="bottom"/>
          </w:tcPr>
          <w:p>
            <w:pPr>
              <w:jc w:val="right"/>
              <w:spacing w:after="0"/>
              <w:rPr>
                <w:sz w:val="20"/>
                <w:szCs w:val="20"/>
                <w:color w:val="auto"/>
              </w:rPr>
            </w:pPr>
            <w:r>
              <w:rPr>
                <w:rFonts w:ascii="Courier New" w:cs="Courier New" w:eastAsia="Courier New" w:hAnsi="Courier New"/>
                <w:sz w:val="18"/>
                <w:szCs w:val="18"/>
                <w:color w:val="auto"/>
              </w:rPr>
              <w:t>2,480</w:t>
            </w:r>
          </w:p>
        </w:tc>
      </w:tr>
    </w:tbl>
    <w:p>
      <w:pPr>
        <w:spacing w:after="0" w:line="176" w:lineRule="exact"/>
        <w:rPr>
          <w:sz w:val="20"/>
          <w:szCs w:val="20"/>
          <w:color w:val="auto"/>
        </w:rPr>
      </w:pPr>
    </w:p>
    <w:p>
      <w:pPr>
        <w:ind w:left="1700" w:right="2159" w:hanging="642"/>
        <w:spacing w:after="0" w:line="410" w:lineRule="auto"/>
        <w:tabs>
          <w:tab w:leader="none" w:pos="1806"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98"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5.</w:t>
        <w:tab/>
        <w:t>Ownership of Five Percent or Less of a Class</w:t>
      </w:r>
    </w:p>
    <w:p>
      <w:pPr>
        <w:spacing w:after="0" w:line="163" w:lineRule="exact"/>
        <w:rPr>
          <w:sz w:val="20"/>
          <w:szCs w:val="20"/>
          <w:color w:val="auto"/>
        </w:rPr>
      </w:pPr>
    </w:p>
    <w:p>
      <w:pPr>
        <w:ind w:left="1100" w:right="919"/>
        <w:spacing w:after="0" w:line="269"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09"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7"/>
          <w:szCs w:val="17"/>
          <w:color w:val="auto"/>
        </w:rPr>
        <w:t>Ownership of More than Five Percent on Behalf of Another Person</w:t>
      </w:r>
    </w:p>
    <w:p>
      <w:pPr>
        <w:spacing w:after="0" w:line="136" w:lineRule="exact"/>
        <w:rPr>
          <w:sz w:val="20"/>
          <w:szCs w:val="20"/>
          <w:color w:val="auto"/>
        </w:rPr>
      </w:pPr>
    </w:p>
    <w:p>
      <w:pPr>
        <w:ind w:left="1100" w:right="499"/>
        <w:spacing w:after="0" w:line="269" w:lineRule="auto"/>
        <w:rPr>
          <w:sz w:val="20"/>
          <w:szCs w:val="20"/>
          <w:color w:val="auto"/>
        </w:rPr>
      </w:pPr>
      <w:r>
        <w:rPr>
          <w:rFonts w:ascii="Courier New" w:cs="Courier New" w:eastAsia="Courier New" w:hAnsi="Courier New"/>
          <w:sz w:val="18"/>
          <w:szCs w:val="18"/>
          <w:color w:val="auto"/>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 reported herein.</w:t>
      </w:r>
    </w:p>
    <w:p>
      <w:pPr>
        <w:spacing w:after="0" w:line="140" w:lineRule="exact"/>
        <w:rPr>
          <w:sz w:val="20"/>
          <w:szCs w:val="20"/>
          <w:color w:val="auto"/>
        </w:rPr>
      </w:pPr>
    </w:p>
    <w:p>
      <w:pPr>
        <w:ind w:left="1100" w:right="1179" w:hanging="899"/>
        <w:spacing w:after="0" w:line="283" w:lineRule="auto"/>
        <w:tabs>
          <w:tab w:leader="none" w:pos="108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6"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See Attached Exhibit C</w:t>
      </w:r>
    </w:p>
    <w:p>
      <w:pPr>
        <w:spacing w:after="0" w:line="242"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8.</w:t>
        <w:tab/>
        <w:t>Identification and Classification of Members of the Group</w:t>
      </w:r>
    </w:p>
    <w:p>
      <w:pPr>
        <w:spacing w:after="0" w:line="242"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42"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7"/>
          <w:szCs w:val="17"/>
          <w:color w:val="auto"/>
        </w:rPr>
        <w:t>Notice of Dissolution of Group</w:t>
      </w:r>
    </w:p>
    <w:p>
      <w:pPr>
        <w:spacing w:after="0" w:line="242"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307975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33" w:right="1440" w:bottom="1440" w:gutter="0" w:footer="0" w:header="0"/>
        </w:sectPr>
      </w:pPr>
    </w:p>
    <w:bookmarkStart w:id="10" w:name="page11"/>
    <w:bookmarkEnd w:id="10"/>
    <w:p>
      <w:pPr>
        <w:spacing w:after="0"/>
        <w:tabs>
          <w:tab w:leader="none" w:pos="4960" w:val="left"/>
          <w:tab w:leader="none" w:pos="560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10 of 14</w:t>
      </w:r>
    </w:p>
    <w:p>
      <w:pPr>
        <w:spacing w:after="0" w:line="161" w:lineRule="exact"/>
        <w:rPr>
          <w:sz w:val="20"/>
          <w:szCs w:val="20"/>
          <w:color w:val="auto"/>
        </w:rPr>
      </w:pPr>
    </w:p>
    <w:p>
      <w:pPr>
        <w:ind w:left="200"/>
        <w:spacing w:after="0"/>
        <w:tabs>
          <w:tab w:leader="none" w:pos="1260" w:val="left"/>
        </w:tabs>
        <w:rPr>
          <w:sz w:val="20"/>
          <w:szCs w:val="20"/>
          <w:color w:val="auto"/>
        </w:rPr>
      </w:pPr>
      <w:r>
        <w:rPr>
          <w:rFonts w:ascii="Courier New" w:cs="Courier New" w:eastAsia="Courier New" w:hAnsi="Courier New"/>
          <w:sz w:val="18"/>
          <w:szCs w:val="18"/>
          <w:color w:val="auto"/>
        </w:rPr>
        <w:t>Item 10.</w:t>
        <w:tab/>
        <w:t>Certification</w:t>
      </w:r>
    </w:p>
    <w:p>
      <w:pPr>
        <w:spacing w:after="0" w:line="136" w:lineRule="exact"/>
        <w:rPr>
          <w:sz w:val="20"/>
          <w:szCs w:val="20"/>
          <w:color w:val="auto"/>
        </w:rPr>
      </w:pPr>
    </w:p>
    <w:p>
      <w:pPr>
        <w:ind w:left="200" w:right="539"/>
        <w:spacing w:after="0" w:line="269"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30" w:lineRule="exact"/>
        <w:rPr>
          <w:sz w:val="20"/>
          <w:szCs w:val="20"/>
          <w:color w:val="auto"/>
        </w:rPr>
      </w:pPr>
    </w:p>
    <w:p>
      <w:pPr>
        <w:ind w:left="200" w:right="739"/>
        <w:spacing w:after="0" w:line="267" w:lineRule="auto"/>
        <w:rPr>
          <w:sz w:val="20"/>
          <w:szCs w:val="20"/>
          <w:color w:val="auto"/>
        </w:rPr>
      </w:pPr>
      <w:r>
        <w:rPr>
          <w:rFonts w:ascii="Courier New" w:cs="Courier New" w:eastAsia="Courier New" w:hAnsi="Courier New"/>
          <w:sz w:val="18"/>
          <w:szCs w:val="18"/>
          <w:color w:val="auto"/>
        </w:rPr>
        <w:t>This report shall not be construed as an admission by the persons filing the report that they are the beneficial owner of any securities covered by this report.</w:t>
      </w:r>
    </w:p>
    <w:p>
      <w:pPr>
        <w:spacing w:after="0" w:line="328"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Exhibits.</w:t>
      </w:r>
    </w:p>
    <w:p>
      <w:pPr>
        <w:spacing w:after="0" w:line="26"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Exhibit A Joint Filing Agreement</w:t>
      </w:r>
    </w:p>
    <w:p>
      <w:pPr>
        <w:spacing w:after="0" w:line="28" w:lineRule="exact"/>
        <w:rPr>
          <w:sz w:val="20"/>
          <w:szCs w:val="20"/>
          <w:color w:val="auto"/>
        </w:rPr>
      </w:pPr>
    </w:p>
    <w:p>
      <w:pPr>
        <w:ind w:left="1100" w:right="919"/>
        <w:spacing w:after="0" w:line="267" w:lineRule="auto"/>
        <w:rPr>
          <w:sz w:val="20"/>
          <w:szCs w:val="20"/>
          <w:color w:val="auto"/>
        </w:rPr>
      </w:pPr>
      <w:r>
        <w:rPr>
          <w:rFonts w:ascii="Courier New" w:cs="Courier New" w:eastAsia="Courier New" w:hAnsi="Courier New"/>
          <w:sz w:val="18"/>
          <w:szCs w:val="18"/>
          <w:color w:val="auto"/>
        </w:rPr>
        <w:t>Exhibit B Limited Powers of Attorney for Section 13 Reporting Obligations Exhibit C Item 7 Identification and Classification of Subsidiaries</w:t>
      </w:r>
    </w:p>
    <w:p>
      <w:pPr>
        <w:spacing w:after="0" w:line="22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136" w:lineRule="exact"/>
        <w:rPr>
          <w:sz w:val="20"/>
          <w:szCs w:val="20"/>
          <w:color w:val="auto"/>
        </w:rPr>
      </w:pPr>
    </w:p>
    <w:p>
      <w:pPr>
        <w:ind w:left="200" w:right="739"/>
        <w:spacing w:after="0" w:line="26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36"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7"/>
          <w:szCs w:val="17"/>
          <w:color w:val="auto"/>
        </w:rPr>
        <w:t>January 26, 2017</w:t>
      </w:r>
    </w:p>
    <w:p>
      <w:pPr>
        <w:spacing w:after="0" w:line="228"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147" w:lineRule="exact"/>
        <w:rPr>
          <w:sz w:val="20"/>
          <w:szCs w:val="20"/>
          <w:color w:val="auto"/>
        </w:rPr>
      </w:pPr>
    </w:p>
    <w:p>
      <w:pPr>
        <w:ind w:left="240"/>
        <w:spacing w:after="0"/>
        <w:rPr>
          <w:sz w:val="20"/>
          <w:szCs w:val="20"/>
          <w:color w:val="auto"/>
        </w:rPr>
      </w:pPr>
      <w:r>
        <w:rPr>
          <w:rFonts w:ascii="Courier New" w:cs="Courier New" w:eastAsia="Courier New" w:hAnsi="Courier New"/>
          <w:sz w:val="18"/>
          <w:szCs w:val="18"/>
          <w:color w:val="auto"/>
        </w:rPr>
        <w:t>Templeton Investment Counsel, LLC.</w:t>
      </w:r>
    </w:p>
    <w:p>
      <w:pPr>
        <w:spacing w:after="0" w:line="360" w:lineRule="exact"/>
        <w:rPr>
          <w:sz w:val="20"/>
          <w:szCs w:val="20"/>
          <w:color w:val="auto"/>
        </w:rPr>
      </w:pPr>
    </w:p>
    <w:p>
      <w:pPr>
        <w:ind w:left="200"/>
        <w:spacing w:after="0"/>
        <w:tabs>
          <w:tab w:leader="none" w:pos="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20"/>
          <w:szCs w:val="20"/>
          <w:color w:val="auto"/>
        </w:rPr>
        <w:t>/s/LORI A. WEBER</w:t>
      </w:r>
    </w:p>
    <w:p>
      <w:pPr>
        <w:spacing w:after="0" w:line="49"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Lori A. Weber</w:t>
      </w:r>
    </w:p>
    <w:p>
      <w:pPr>
        <w:spacing w:after="0" w:line="2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53" w:lineRule="exact"/>
        <w:rPr>
          <w:sz w:val="20"/>
          <w:szCs w:val="20"/>
          <w:color w:val="auto"/>
        </w:rPr>
      </w:pPr>
    </w:p>
    <w:p>
      <w:pPr>
        <w:ind w:left="1000"/>
        <w:spacing w:after="0"/>
        <w:rPr>
          <w:sz w:val="20"/>
          <w:szCs w:val="20"/>
          <w:color w:val="auto"/>
        </w:rPr>
      </w:pPr>
      <w:r>
        <w:rPr>
          <w:rFonts w:ascii="Courier New" w:cs="Courier New" w:eastAsia="Courier New" w:hAnsi="Courier New"/>
          <w:sz w:val="18"/>
          <w:szCs w:val="18"/>
          <w:color w:val="auto"/>
        </w:rPr>
        <w:t>Vice President and Secretary of Templeton Investment Counsel, LLC.</w:t>
      </w:r>
    </w:p>
    <w:p>
      <w:pPr>
        <w:spacing w:after="0" w:line="36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Charles B. Johnson</w:t>
      </w:r>
    </w:p>
    <w:p>
      <w:pPr>
        <w:spacing w:after="0" w:line="134"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306" w:lineRule="exact"/>
        <w:rPr>
          <w:sz w:val="20"/>
          <w:szCs w:val="20"/>
          <w:color w:val="auto"/>
        </w:rPr>
      </w:pPr>
    </w:p>
    <w:p>
      <w:pPr>
        <w:ind w:left="240"/>
        <w:spacing w:after="0"/>
        <w:tabs>
          <w:tab w:leader="none" w:pos="9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20"/>
          <w:szCs w:val="20"/>
          <w:color w:val="auto"/>
        </w:rPr>
        <w:t>/s/ROBERT C. ROSSELOT</w:t>
      </w:r>
    </w:p>
    <w:p>
      <w:pPr>
        <w:spacing w:after="0" w:line="49"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Robert C. Rosselot</w:t>
      </w:r>
    </w:p>
    <w:p>
      <w:pPr>
        <w:spacing w:after="0" w:line="203" w:lineRule="exact"/>
        <w:rPr>
          <w:sz w:val="20"/>
          <w:szCs w:val="20"/>
          <w:color w:val="auto"/>
        </w:rPr>
      </w:pPr>
    </w:p>
    <w:p>
      <w:pPr>
        <w:ind w:left="960" w:right="1499"/>
        <w:spacing w:after="0" w:line="22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45" w:lineRule="exact"/>
        <w:rPr>
          <w:sz w:val="20"/>
          <w:szCs w:val="20"/>
          <w:color w:val="auto"/>
        </w:rPr>
      </w:pPr>
    </w:p>
    <w:p>
      <w:pPr>
        <w:ind w:left="960" w:right="1079"/>
        <w:spacing w:after="0" w:line="215"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583565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19" w:right="1440" w:bottom="1440" w:gutter="0" w:footer="0" w:header="0"/>
        </w:sectPr>
      </w:pPr>
    </w:p>
    <w:bookmarkStart w:id="11" w:name="page12"/>
    <w:bookmarkEnd w:id="11"/>
    <w:p>
      <w:pPr>
        <w:spacing w:after="0"/>
        <w:tabs>
          <w:tab w:leader="none" w:pos="4960" w:val="left"/>
          <w:tab w:leader="none" w:pos="560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11 of 14</w:t>
      </w:r>
    </w:p>
    <w:p>
      <w:pPr>
        <w:spacing w:after="0" w:line="188"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A</w:t>
      </w:r>
    </w:p>
    <w:p>
      <w:pPr>
        <w:spacing w:after="0" w:line="24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JOINT FILING AGREEMENT</w:t>
      </w:r>
    </w:p>
    <w:p>
      <w:pPr>
        <w:spacing w:after="0" w:line="190" w:lineRule="exact"/>
        <w:rPr>
          <w:sz w:val="20"/>
          <w:szCs w:val="20"/>
          <w:color w:val="auto"/>
        </w:rPr>
      </w:pPr>
    </w:p>
    <w:p>
      <w:pPr>
        <w:ind w:left="200" w:right="739"/>
        <w:spacing w:after="0" w:line="224" w:lineRule="exact"/>
        <w:rPr>
          <w:sz w:val="20"/>
          <w:szCs w:val="20"/>
          <w:color w:val="auto"/>
        </w:rPr>
      </w:pPr>
      <w:r>
        <w:rPr>
          <w:rFonts w:ascii="Courier New" w:cs="Courier New" w:eastAsia="Courier New" w:hAnsi="Courier New"/>
          <w:sz w:val="18"/>
          <w:szCs w:val="18"/>
          <w:color w:val="auto"/>
        </w:rPr>
        <w:t>In accordance with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12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IN WITNESS WHEREOF, the undersigned have executed this agreement on January 26, 2017.</w:t>
      </w:r>
    </w:p>
    <w:p>
      <w:pPr>
        <w:spacing w:after="0" w:line="130"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147" w:lineRule="exact"/>
        <w:rPr>
          <w:sz w:val="20"/>
          <w:szCs w:val="20"/>
          <w:color w:val="auto"/>
        </w:rPr>
      </w:pPr>
    </w:p>
    <w:p>
      <w:pPr>
        <w:ind w:left="240"/>
        <w:spacing w:after="0"/>
        <w:rPr>
          <w:sz w:val="20"/>
          <w:szCs w:val="20"/>
          <w:color w:val="auto"/>
        </w:rPr>
      </w:pPr>
      <w:r>
        <w:rPr>
          <w:rFonts w:ascii="Courier New" w:cs="Courier New" w:eastAsia="Courier New" w:hAnsi="Courier New"/>
          <w:sz w:val="18"/>
          <w:szCs w:val="18"/>
          <w:color w:val="auto"/>
        </w:rPr>
        <w:t>Templeton Investment Counsel, LLC.</w:t>
      </w:r>
    </w:p>
    <w:p>
      <w:pPr>
        <w:spacing w:after="0" w:line="360" w:lineRule="exact"/>
        <w:rPr>
          <w:sz w:val="20"/>
          <w:szCs w:val="20"/>
          <w:color w:val="auto"/>
        </w:rPr>
      </w:pPr>
    </w:p>
    <w:p>
      <w:pPr>
        <w:ind w:left="200"/>
        <w:spacing w:after="0"/>
        <w:tabs>
          <w:tab w:leader="none" w:pos="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20"/>
          <w:szCs w:val="20"/>
          <w:color w:val="auto"/>
        </w:rPr>
        <w:t>/s/LORI A. WEBER</w:t>
      </w:r>
    </w:p>
    <w:p>
      <w:pPr>
        <w:spacing w:after="0" w:line="49"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Lori A. Weber</w:t>
      </w:r>
    </w:p>
    <w:p>
      <w:pPr>
        <w:spacing w:after="0" w:line="2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53" w:lineRule="exact"/>
        <w:rPr>
          <w:sz w:val="20"/>
          <w:szCs w:val="20"/>
          <w:color w:val="auto"/>
        </w:rPr>
      </w:pPr>
    </w:p>
    <w:p>
      <w:pPr>
        <w:ind w:left="1000"/>
        <w:spacing w:after="0"/>
        <w:rPr>
          <w:sz w:val="20"/>
          <w:szCs w:val="20"/>
          <w:color w:val="auto"/>
        </w:rPr>
      </w:pPr>
      <w:r>
        <w:rPr>
          <w:rFonts w:ascii="Courier New" w:cs="Courier New" w:eastAsia="Courier New" w:hAnsi="Courier New"/>
          <w:sz w:val="18"/>
          <w:szCs w:val="18"/>
          <w:color w:val="auto"/>
        </w:rPr>
        <w:t>Vice President and Secretary of Templeton Investment Counsel, LLC.</w:t>
      </w:r>
    </w:p>
    <w:p>
      <w:pPr>
        <w:spacing w:after="0" w:line="36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Charles B. Johnson</w:t>
      </w:r>
    </w:p>
    <w:p>
      <w:pPr>
        <w:spacing w:after="0" w:line="134"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306" w:lineRule="exact"/>
        <w:rPr>
          <w:sz w:val="20"/>
          <w:szCs w:val="20"/>
          <w:color w:val="auto"/>
        </w:rPr>
      </w:pPr>
    </w:p>
    <w:p>
      <w:pPr>
        <w:ind w:left="240"/>
        <w:spacing w:after="0"/>
        <w:tabs>
          <w:tab w:leader="none" w:pos="9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20"/>
          <w:szCs w:val="20"/>
          <w:color w:val="auto"/>
        </w:rPr>
        <w:t>/s/ROBERT C. ROSSELOT</w:t>
      </w:r>
    </w:p>
    <w:p>
      <w:pPr>
        <w:spacing w:after="0" w:line="49"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Robert C. Rosselot</w:t>
      </w:r>
    </w:p>
    <w:p>
      <w:pPr>
        <w:spacing w:after="0" w:line="203" w:lineRule="exact"/>
        <w:rPr>
          <w:sz w:val="20"/>
          <w:szCs w:val="20"/>
          <w:color w:val="auto"/>
        </w:rPr>
      </w:pPr>
    </w:p>
    <w:p>
      <w:pPr>
        <w:ind w:left="960" w:right="1499"/>
        <w:spacing w:after="0" w:line="22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45" w:lineRule="exact"/>
        <w:rPr>
          <w:sz w:val="20"/>
          <w:szCs w:val="20"/>
          <w:color w:val="auto"/>
        </w:rPr>
      </w:pPr>
    </w:p>
    <w:p>
      <w:pPr>
        <w:ind w:left="960" w:right="1079"/>
        <w:spacing w:after="0" w:line="215"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2444115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06" w:right="1440" w:bottom="1440" w:gutter="0" w:footer="0" w:header="0"/>
        </w:sectPr>
      </w:pPr>
    </w:p>
    <w:bookmarkStart w:id="12" w:name="page13"/>
    <w:bookmarkEnd w:id="12"/>
    <w:p>
      <w:pPr>
        <w:spacing w:after="0"/>
        <w:tabs>
          <w:tab w:leader="none" w:pos="4960" w:val="left"/>
          <w:tab w:leader="none" w:pos="560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12 of 14</w:t>
      </w:r>
    </w:p>
    <w:p>
      <w:pPr>
        <w:spacing w:after="0" w:line="174"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B</w:t>
      </w:r>
    </w:p>
    <w:p>
      <w:pPr>
        <w:spacing w:after="0" w:line="242"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LIMITED POWER OF ATTORNEY</w:t>
      </w:r>
    </w:p>
    <w:p>
      <w:pPr>
        <w:spacing w:after="0" w:line="26" w:lineRule="exact"/>
        <w:rPr>
          <w:sz w:val="20"/>
          <w:szCs w:val="20"/>
          <w:color w:val="auto"/>
        </w:rPr>
      </w:pPr>
    </w:p>
    <w:p>
      <w:pPr>
        <w:ind w:left="4360"/>
        <w:spacing w:after="0"/>
        <w:rPr>
          <w:sz w:val="20"/>
          <w:szCs w:val="20"/>
          <w:color w:val="auto"/>
        </w:rPr>
      </w:pPr>
      <w:r>
        <w:rPr>
          <w:rFonts w:ascii="Courier New" w:cs="Courier New" w:eastAsia="Courier New" w:hAnsi="Courier New"/>
          <w:sz w:val="18"/>
          <w:szCs w:val="18"/>
          <w:color w:val="auto"/>
        </w:rPr>
        <w:t>FOR</w:t>
      </w:r>
    </w:p>
    <w:p>
      <w:pPr>
        <w:spacing w:after="0" w:line="26" w:lineRule="exact"/>
        <w:rPr>
          <w:sz w:val="20"/>
          <w:szCs w:val="20"/>
          <w:color w:val="auto"/>
        </w:rPr>
      </w:pPr>
    </w:p>
    <w:p>
      <w:pPr>
        <w:ind w:left="2900"/>
        <w:spacing w:after="0"/>
        <w:rPr>
          <w:sz w:val="20"/>
          <w:szCs w:val="20"/>
          <w:color w:val="auto"/>
        </w:rPr>
      </w:pPr>
      <w:r>
        <w:rPr>
          <w:rFonts w:ascii="Courier New" w:cs="Courier New" w:eastAsia="Courier New" w:hAnsi="Courier New"/>
          <w:sz w:val="18"/>
          <w:szCs w:val="18"/>
          <w:u w:val="single" w:color="auto"/>
          <w:color w:val="auto"/>
        </w:rPr>
        <w:t>SECTION 13 REPORTING OBLIGATIONS</w:t>
      </w:r>
    </w:p>
    <w:p>
      <w:pPr>
        <w:spacing w:after="0" w:line="244" w:lineRule="exact"/>
        <w:rPr>
          <w:sz w:val="20"/>
          <w:szCs w:val="20"/>
          <w:color w:val="auto"/>
        </w:rPr>
      </w:pPr>
    </w:p>
    <w:p>
      <w:pPr>
        <w:ind w:left="200" w:right="419" w:firstLine="1200"/>
        <w:spacing w:after="0" w:line="224"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Robert Rosselot and Maria Gray, each acting individually, as the undersigned’s true and lawful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246" w:lineRule="exact"/>
        <w:rPr>
          <w:sz w:val="20"/>
          <w:szCs w:val="20"/>
          <w:color w:val="auto"/>
        </w:rPr>
      </w:pPr>
    </w:p>
    <w:p>
      <w:pPr>
        <w:ind w:left="200" w:right="419" w:firstLine="8"/>
        <w:spacing w:after="0" w:line="269" w:lineRule="auto"/>
        <w:tabs>
          <w:tab w:leader="none" w:pos="1496"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221" w:lineRule="exact"/>
        <w:rPr>
          <w:rFonts w:ascii="Courier New" w:cs="Courier New" w:eastAsia="Courier New" w:hAnsi="Courier New"/>
          <w:sz w:val="18"/>
          <w:szCs w:val="18"/>
          <w:color w:val="auto"/>
        </w:rPr>
      </w:pPr>
    </w:p>
    <w:p>
      <w:pPr>
        <w:ind w:left="1500" w:hanging="1292"/>
        <w:spacing w:after="0"/>
        <w:tabs>
          <w:tab w:leader="none" w:pos="150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w:t>
      </w:r>
    </w:p>
    <w:p>
      <w:pPr>
        <w:spacing w:after="0" w:line="28" w:lineRule="exact"/>
        <w:rPr>
          <w:sz w:val="20"/>
          <w:szCs w:val="20"/>
          <w:color w:val="auto"/>
        </w:rPr>
      </w:pPr>
    </w:p>
    <w:p>
      <w:pPr>
        <w:ind w:left="200" w:right="739"/>
        <w:spacing w:after="0" w:line="215"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are necessary or desirable for and on behalf of the undersigned in connection with the foregoing.</w:t>
      </w:r>
    </w:p>
    <w:p>
      <w:pPr>
        <w:spacing w:after="0" w:line="243" w:lineRule="exact"/>
        <w:rPr>
          <w:sz w:val="20"/>
          <w:szCs w:val="20"/>
          <w:color w:val="auto"/>
        </w:rPr>
      </w:pPr>
    </w:p>
    <w:p>
      <w:pPr>
        <w:ind w:left="140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44" w:lineRule="exact"/>
        <w:rPr>
          <w:sz w:val="20"/>
          <w:szCs w:val="20"/>
          <w:color w:val="auto"/>
        </w:rPr>
      </w:pPr>
    </w:p>
    <w:p>
      <w:pPr>
        <w:ind w:left="200" w:right="419" w:firstLine="8"/>
        <w:spacing w:after="0" w:line="221" w:lineRule="exact"/>
        <w:tabs>
          <w:tab w:leader="none" w:pos="1496"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28" w:lineRule="exact"/>
        <w:rPr>
          <w:rFonts w:ascii="Courier New" w:cs="Courier New" w:eastAsia="Courier New" w:hAnsi="Courier New"/>
          <w:sz w:val="18"/>
          <w:szCs w:val="18"/>
          <w:color w:val="auto"/>
        </w:rPr>
      </w:pPr>
    </w:p>
    <w:p>
      <w:pPr>
        <w:ind w:left="200" w:right="419" w:firstLine="8"/>
        <w:spacing w:after="0" w:line="223" w:lineRule="exact"/>
        <w:tabs>
          <w:tab w:leader="none" w:pos="1496"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either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20" w:lineRule="exact"/>
        <w:rPr>
          <w:rFonts w:ascii="Courier New" w:cs="Courier New" w:eastAsia="Courier New" w:hAnsi="Courier New"/>
          <w:sz w:val="18"/>
          <w:szCs w:val="18"/>
          <w:color w:val="auto"/>
        </w:rPr>
      </w:pPr>
    </w:p>
    <w:p>
      <w:pPr>
        <w:ind w:left="1500" w:hanging="1292"/>
        <w:spacing w:after="0" w:line="209" w:lineRule="exact"/>
        <w:tabs>
          <w:tab w:leader="none" w:pos="150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Reporting Entity nor either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w:t>
      </w:r>
    </w:p>
    <w:p>
      <w:pPr>
        <w:spacing w:after="0" w:line="27" w:lineRule="exact"/>
        <w:rPr>
          <w:rFonts w:ascii="Courier New" w:cs="Courier New" w:eastAsia="Courier New" w:hAnsi="Courier New"/>
          <w:sz w:val="18"/>
          <w:szCs w:val="18"/>
          <w:color w:val="auto"/>
        </w:rPr>
      </w:pPr>
    </w:p>
    <w:p>
      <w:pPr>
        <w:jc w:val="both"/>
        <w:ind w:left="200" w:right="419"/>
        <w:spacing w:after="0" w:line="26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 any liability for the undersigned’s responsibility to comply with the requirements of the Exchange Act or (ii) any liability of the undersigned for any failure to comply with such requirements; and</w:t>
      </w:r>
    </w:p>
    <w:p>
      <w:pPr>
        <w:spacing w:after="0" w:line="3" w:lineRule="exact"/>
        <w:rPr>
          <w:rFonts w:ascii="Courier New" w:cs="Courier New" w:eastAsia="Courier New" w:hAnsi="Courier New"/>
          <w:sz w:val="18"/>
          <w:szCs w:val="18"/>
          <w:color w:val="auto"/>
        </w:rPr>
      </w:pPr>
    </w:p>
    <w:p>
      <w:pPr>
        <w:ind w:left="200" w:right="639" w:firstLine="8"/>
        <w:spacing w:after="0" w:line="269" w:lineRule="auto"/>
        <w:tabs>
          <w:tab w:leader="none" w:pos="1496"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13 of the Exchange Act.</w:t>
      </w:r>
    </w:p>
    <w:p>
      <w:pPr>
        <w:spacing w:after="0" w:line="4" w:lineRule="exact"/>
        <w:rPr>
          <w:rFonts w:ascii="Courier New" w:cs="Courier New" w:eastAsia="Courier New" w:hAnsi="Courier New"/>
          <w:sz w:val="18"/>
          <w:szCs w:val="18"/>
          <w:color w:val="auto"/>
        </w:rPr>
      </w:pPr>
    </w:p>
    <w:p>
      <w:pPr>
        <w:ind w:left="200" w:right="539" w:firstLine="1200"/>
        <w:spacing w:after="0" w:line="225"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w:t>
      </w:r>
    </w:p>
    <w:p>
      <w:pPr>
        <w:spacing w:after="0" w:line="32" w:lineRule="exact"/>
        <w:rPr>
          <w:rFonts w:ascii="Courier New" w:cs="Courier New" w:eastAsia="Courier New" w:hAnsi="Courier New"/>
          <w:sz w:val="18"/>
          <w:szCs w:val="18"/>
          <w:color w:val="auto"/>
        </w:rPr>
      </w:pPr>
    </w:p>
    <w:p>
      <w:pPr>
        <w:ind w:left="200" w:right="519" w:firstLine="1200"/>
        <w:spacing w:after="0" w:line="221"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spacing w:after="0" w:line="243" w:lineRule="exact"/>
        <w:rPr>
          <w:sz w:val="20"/>
          <w:szCs w:val="20"/>
          <w:color w:val="auto"/>
        </w:rPr>
      </w:pPr>
    </w:p>
    <w:tbl>
      <w:tblPr>
        <w:tblLayout w:type="fixed"/>
        <w:tblInd w:w="20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rPr>
              <w:t>IN WITNESS WHEREOF,</w:t>
            </w:r>
          </w:p>
        </w:tc>
        <w:tc>
          <w:tcPr>
            <w:tcW w:w="492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9"/>
              </w:rPr>
              <w:t>the undersigned has caused this Limited Power</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w w:val="99"/>
              </w:rPr>
              <w:t>of Attorney to be</w:t>
            </w:r>
          </w:p>
        </w:tc>
      </w:tr>
      <w:tr>
        <w:trPr>
          <w:trHeight w:val="191"/>
        </w:trPr>
        <w:tc>
          <w:tcPr>
            <w:tcW w:w="2160" w:type="dxa"/>
            <w:vAlign w:val="bottom"/>
          </w:tcPr>
          <w:p>
            <w:pPr>
              <w:spacing w:after="0" w:line="191" w:lineRule="exact"/>
              <w:rPr>
                <w:sz w:val="20"/>
                <w:szCs w:val="20"/>
                <w:color w:val="auto"/>
              </w:rPr>
            </w:pPr>
            <w:r>
              <w:rPr>
                <w:rFonts w:ascii="Courier New" w:cs="Courier New" w:eastAsia="Courier New" w:hAnsi="Courier New"/>
                <w:sz w:val="18"/>
                <w:szCs w:val="18"/>
                <w:color w:val="auto"/>
              </w:rPr>
              <w:t>executed as of this</w:t>
            </w:r>
          </w:p>
        </w:tc>
        <w:tc>
          <w:tcPr>
            <w:tcW w:w="1620" w:type="dxa"/>
            <w:vAlign w:val="bottom"/>
            <w:tcBorders>
              <w:bottom w:val="single" w:sz="8" w:color="auto"/>
            </w:tcBorders>
          </w:tcPr>
          <w:p>
            <w:pPr>
              <w:ind w:left="540"/>
              <w:spacing w:after="0" w:line="191" w:lineRule="exact"/>
              <w:rPr>
                <w:sz w:val="20"/>
                <w:szCs w:val="20"/>
                <w:color w:val="auto"/>
              </w:rPr>
            </w:pPr>
            <w:r>
              <w:rPr>
                <w:rFonts w:ascii="Courier New" w:cs="Courier New" w:eastAsia="Courier New" w:hAnsi="Courier New"/>
                <w:sz w:val="18"/>
                <w:szCs w:val="18"/>
                <w:color w:val="auto"/>
              </w:rPr>
              <w:t>30th</w:t>
            </w:r>
          </w:p>
        </w:tc>
        <w:tc>
          <w:tcPr>
            <w:tcW w:w="760" w:type="dxa"/>
            <w:vAlign w:val="bottom"/>
          </w:tcPr>
          <w:p>
            <w:pPr>
              <w:spacing w:after="0" w:line="191" w:lineRule="exact"/>
              <w:rPr>
                <w:sz w:val="20"/>
                <w:szCs w:val="20"/>
                <w:color w:val="auto"/>
              </w:rPr>
            </w:pPr>
            <w:r>
              <w:rPr>
                <w:rFonts w:ascii="Courier New" w:cs="Courier New" w:eastAsia="Courier New" w:hAnsi="Courier New"/>
                <w:sz w:val="18"/>
                <w:szCs w:val="18"/>
                <w:color w:val="auto"/>
              </w:rPr>
              <w:t>day of</w:t>
            </w:r>
          </w:p>
        </w:tc>
        <w:tc>
          <w:tcPr>
            <w:tcW w:w="2380" w:type="dxa"/>
            <w:vAlign w:val="bottom"/>
            <w:tcBorders>
              <w:bottom w:val="single" w:sz="8" w:color="auto"/>
            </w:tcBorders>
          </w:tcPr>
          <w:p>
            <w:pPr>
              <w:ind w:left="980"/>
              <w:spacing w:after="0" w:line="191" w:lineRule="exact"/>
              <w:rPr>
                <w:sz w:val="20"/>
                <w:szCs w:val="20"/>
                <w:color w:val="auto"/>
              </w:rPr>
            </w:pPr>
            <w:r>
              <w:rPr>
                <w:rFonts w:ascii="Courier New" w:cs="Courier New" w:eastAsia="Courier New" w:hAnsi="Courier New"/>
                <w:sz w:val="18"/>
                <w:szCs w:val="18"/>
                <w:color w:val="auto"/>
              </w:rPr>
              <w:t>April</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8"/>
                <w:szCs w:val="18"/>
                <w:color w:val="auto"/>
                <w:w w:val="73"/>
              </w:rPr>
              <w:t>,</w:t>
            </w:r>
          </w:p>
        </w:tc>
        <w:tc>
          <w:tcPr>
            <w:tcW w:w="1900" w:type="dxa"/>
            <w:vAlign w:val="bottom"/>
          </w:tcPr>
          <w:p>
            <w:pPr>
              <w:ind w:left="60"/>
              <w:spacing w:after="0" w:line="191" w:lineRule="exact"/>
              <w:rPr>
                <w:sz w:val="20"/>
                <w:szCs w:val="20"/>
                <w:color w:val="auto"/>
              </w:rPr>
            </w:pPr>
            <w:r>
              <w:rPr>
                <w:rFonts w:ascii="Courier New" w:cs="Courier New" w:eastAsia="Courier New" w:hAnsi="Courier New"/>
                <w:sz w:val="18"/>
                <w:szCs w:val="18"/>
                <w:color w:val="auto"/>
              </w:rPr>
              <w:t>2007</w:t>
            </w:r>
          </w:p>
        </w:tc>
      </w:tr>
    </w:tbl>
    <w:p>
      <w:pPr>
        <w:spacing w:after="0" w:line="267"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u w:val="single" w:color="auto"/>
          <w:color w:val="auto"/>
        </w:rPr>
        <w:t>/s/Charles B. Johnson</w:t>
      </w:r>
    </w:p>
    <w:p>
      <w:pPr>
        <w:spacing w:after="0" w:line="26"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color w:val="auto"/>
        </w:rPr>
        <w:t>Signature</w:t>
      </w:r>
    </w:p>
    <w:p>
      <w:pPr>
        <w:spacing w:after="0" w:line="134"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u w:val="single" w:color="auto"/>
          <w:color w:val="auto"/>
        </w:rPr>
        <w:t>Charles B. Johnson</w:t>
      </w:r>
    </w:p>
    <w:p>
      <w:pPr>
        <w:spacing w:after="0" w:line="12" w:lineRule="exact"/>
        <w:rPr>
          <w:sz w:val="20"/>
          <w:szCs w:val="20"/>
          <w:color w:val="auto"/>
        </w:rPr>
      </w:pPr>
    </w:p>
    <w:p>
      <w:pPr>
        <w:ind w:left="652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299085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33" w:right="1440" w:bottom="1440" w:gutter="0" w:footer="0" w:header="0"/>
        </w:sectPr>
      </w:pPr>
    </w:p>
    <w:bookmarkStart w:id="13" w:name="page14"/>
    <w:bookmarkEnd w:id="1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4" w:name="page15"/>
    <w:bookmarkEnd w:id="14"/>
    <w:p>
      <w:pPr>
        <w:spacing w:after="0"/>
        <w:tabs>
          <w:tab w:leader="none" w:pos="4960" w:val="left"/>
          <w:tab w:leader="none" w:pos="560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13 of 14</w:t>
      </w:r>
    </w:p>
    <w:p>
      <w:pPr>
        <w:spacing w:after="0" w:line="147" w:lineRule="exact"/>
        <w:rPr>
          <w:sz w:val="20"/>
          <w:szCs w:val="20"/>
          <w:color w:val="auto"/>
        </w:rPr>
      </w:pPr>
    </w:p>
    <w:p>
      <w:pPr>
        <w:ind w:left="3200"/>
        <w:spacing w:after="0"/>
        <w:rPr>
          <w:sz w:val="20"/>
          <w:szCs w:val="20"/>
          <w:color w:val="auto"/>
        </w:rPr>
      </w:pPr>
      <w:r>
        <w:rPr>
          <w:rFonts w:ascii="Courier New" w:cs="Courier New" w:eastAsia="Courier New" w:hAnsi="Courier New"/>
          <w:sz w:val="18"/>
          <w:szCs w:val="18"/>
          <w:color w:val="auto"/>
        </w:rPr>
        <w:t>LIMITED POWER OF ATTORNEY</w:t>
      </w:r>
    </w:p>
    <w:p>
      <w:pPr>
        <w:spacing w:after="0" w:line="26" w:lineRule="exact"/>
        <w:rPr>
          <w:sz w:val="20"/>
          <w:szCs w:val="20"/>
          <w:color w:val="auto"/>
        </w:rPr>
      </w:pPr>
    </w:p>
    <w:p>
      <w:pPr>
        <w:ind w:left="4300"/>
        <w:spacing w:after="0"/>
        <w:rPr>
          <w:sz w:val="20"/>
          <w:szCs w:val="20"/>
          <w:color w:val="auto"/>
        </w:rPr>
      </w:pPr>
      <w:r>
        <w:rPr>
          <w:rFonts w:ascii="Courier New" w:cs="Courier New" w:eastAsia="Courier New" w:hAnsi="Courier New"/>
          <w:sz w:val="18"/>
          <w:szCs w:val="18"/>
          <w:color w:val="auto"/>
        </w:rPr>
        <w:t>FOR</w:t>
      </w:r>
    </w:p>
    <w:p>
      <w:pPr>
        <w:spacing w:after="0" w:line="2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u w:val="single" w:color="auto"/>
          <w:color w:val="auto"/>
        </w:rPr>
        <w:t>SECTION 13 REPORTING OBLIGATIONS</w:t>
      </w:r>
    </w:p>
    <w:p>
      <w:pPr>
        <w:spacing w:after="0" w:line="244" w:lineRule="exact"/>
        <w:rPr>
          <w:sz w:val="20"/>
          <w:szCs w:val="20"/>
          <w:color w:val="auto"/>
        </w:rPr>
      </w:pPr>
    </w:p>
    <w:p>
      <w:pPr>
        <w:ind w:left="200" w:right="639" w:firstLine="1200"/>
        <w:spacing w:after="0" w:line="224"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Robert Rosselot and Maria Gray, each acting individually, as the undersigned’s true and lawful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246" w:lineRule="exact"/>
        <w:rPr>
          <w:sz w:val="20"/>
          <w:szCs w:val="20"/>
          <w:color w:val="auto"/>
        </w:rPr>
      </w:pPr>
    </w:p>
    <w:p>
      <w:pPr>
        <w:ind w:left="200" w:right="639" w:firstLine="8"/>
        <w:spacing w:after="0" w:line="269" w:lineRule="auto"/>
        <w:tabs>
          <w:tab w:leader="none" w:pos="1496"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221" w:lineRule="exact"/>
        <w:rPr>
          <w:rFonts w:ascii="Courier New" w:cs="Courier New" w:eastAsia="Courier New" w:hAnsi="Courier New"/>
          <w:sz w:val="18"/>
          <w:szCs w:val="18"/>
          <w:color w:val="auto"/>
        </w:rPr>
      </w:pPr>
    </w:p>
    <w:p>
      <w:pPr>
        <w:ind w:left="1500" w:hanging="1292"/>
        <w:spacing w:after="0"/>
        <w:tabs>
          <w:tab w:leader="none" w:pos="150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w:t>
      </w:r>
    </w:p>
    <w:p>
      <w:pPr>
        <w:spacing w:after="0" w:line="28" w:lineRule="exact"/>
        <w:rPr>
          <w:sz w:val="20"/>
          <w:szCs w:val="20"/>
          <w:color w:val="auto"/>
        </w:rPr>
      </w:pPr>
    </w:p>
    <w:p>
      <w:pPr>
        <w:ind w:left="200" w:right="739"/>
        <w:spacing w:after="0" w:line="215"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are necessary or desirable for and on behalf of the undersigned in connection with the foregoing.</w:t>
      </w:r>
    </w:p>
    <w:p>
      <w:pPr>
        <w:spacing w:after="0" w:line="243" w:lineRule="exact"/>
        <w:rPr>
          <w:sz w:val="20"/>
          <w:szCs w:val="20"/>
          <w:color w:val="auto"/>
        </w:rPr>
      </w:pPr>
    </w:p>
    <w:p>
      <w:pPr>
        <w:ind w:left="140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44" w:lineRule="exact"/>
        <w:rPr>
          <w:sz w:val="20"/>
          <w:szCs w:val="20"/>
          <w:color w:val="auto"/>
        </w:rPr>
      </w:pPr>
    </w:p>
    <w:p>
      <w:pPr>
        <w:ind w:left="200" w:right="959" w:firstLine="8"/>
        <w:spacing w:after="0" w:line="221" w:lineRule="exact"/>
        <w:tabs>
          <w:tab w:leader="none" w:pos="1496"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28" w:lineRule="exact"/>
        <w:rPr>
          <w:rFonts w:ascii="Courier New" w:cs="Courier New" w:eastAsia="Courier New" w:hAnsi="Courier New"/>
          <w:sz w:val="18"/>
          <w:szCs w:val="18"/>
          <w:color w:val="auto"/>
        </w:rPr>
      </w:pPr>
    </w:p>
    <w:p>
      <w:pPr>
        <w:jc w:val="both"/>
        <w:ind w:left="200" w:right="639" w:firstLine="8"/>
        <w:spacing w:after="0" w:line="223" w:lineRule="exact"/>
        <w:tabs>
          <w:tab w:leader="none" w:pos="1496"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either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27" w:lineRule="exact"/>
        <w:rPr>
          <w:rFonts w:ascii="Courier New" w:cs="Courier New" w:eastAsia="Courier New" w:hAnsi="Courier New"/>
          <w:sz w:val="18"/>
          <w:szCs w:val="18"/>
          <w:color w:val="auto"/>
        </w:rPr>
      </w:pPr>
    </w:p>
    <w:p>
      <w:pPr>
        <w:ind w:left="200" w:right="959" w:firstLine="8"/>
        <w:spacing w:after="0" w:line="223" w:lineRule="exact"/>
        <w:tabs>
          <w:tab w:leader="none" w:pos="1496"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Reporting Entity nor either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or (ii) any liability of the undersigned for any failure to comply with such requirements; and</w:t>
      </w:r>
    </w:p>
    <w:p>
      <w:pPr>
        <w:spacing w:after="0" w:line="29" w:lineRule="exact"/>
        <w:rPr>
          <w:rFonts w:ascii="Courier New" w:cs="Courier New" w:eastAsia="Courier New" w:hAnsi="Courier New"/>
          <w:sz w:val="18"/>
          <w:szCs w:val="18"/>
          <w:color w:val="auto"/>
        </w:rPr>
      </w:pPr>
    </w:p>
    <w:p>
      <w:pPr>
        <w:ind w:left="200" w:right="639" w:firstLine="8"/>
        <w:spacing w:after="0" w:line="269" w:lineRule="auto"/>
        <w:tabs>
          <w:tab w:leader="none" w:pos="1496"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13 of the Exchange Act.</w:t>
      </w:r>
    </w:p>
    <w:p>
      <w:pPr>
        <w:spacing w:after="0" w:line="4" w:lineRule="exact"/>
        <w:rPr>
          <w:rFonts w:ascii="Courier New" w:cs="Courier New" w:eastAsia="Courier New" w:hAnsi="Courier New"/>
          <w:sz w:val="18"/>
          <w:szCs w:val="18"/>
          <w:color w:val="auto"/>
        </w:rPr>
      </w:pPr>
    </w:p>
    <w:p>
      <w:pPr>
        <w:ind w:left="200" w:right="539" w:firstLine="1200"/>
        <w:spacing w:after="0" w:line="225"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w:t>
      </w:r>
    </w:p>
    <w:p>
      <w:pPr>
        <w:spacing w:after="0" w:line="32" w:lineRule="exact"/>
        <w:rPr>
          <w:rFonts w:ascii="Courier New" w:cs="Courier New" w:eastAsia="Courier New" w:hAnsi="Courier New"/>
          <w:sz w:val="18"/>
          <w:szCs w:val="18"/>
          <w:color w:val="auto"/>
        </w:rPr>
      </w:pPr>
    </w:p>
    <w:p>
      <w:pPr>
        <w:ind w:left="200" w:right="1159" w:firstLine="1200"/>
        <w:spacing w:after="0" w:line="221"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spacing w:after="0" w:line="243" w:lineRule="exact"/>
        <w:rPr>
          <w:sz w:val="20"/>
          <w:szCs w:val="20"/>
          <w:color w:val="auto"/>
        </w:rPr>
      </w:pPr>
    </w:p>
    <w:tbl>
      <w:tblPr>
        <w:tblLayout w:type="fixed"/>
        <w:tblInd w:w="20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w w:val="99"/>
              </w:rPr>
              <w:t>IN WITNESS WHEREOF,</w:t>
            </w:r>
          </w:p>
        </w:tc>
        <w:tc>
          <w:tcPr>
            <w:tcW w:w="5340" w:type="dxa"/>
            <w:vAlign w:val="bottom"/>
            <w:gridSpan w:val="5"/>
          </w:tcPr>
          <w:p>
            <w:pPr>
              <w:jc w:val="right"/>
              <w:spacing w:after="0"/>
              <w:rPr>
                <w:sz w:val="20"/>
                <w:szCs w:val="20"/>
                <w:color w:val="auto"/>
              </w:rPr>
            </w:pPr>
            <w:r>
              <w:rPr>
                <w:rFonts w:ascii="Courier New" w:cs="Courier New" w:eastAsia="Courier New" w:hAnsi="Courier New"/>
                <w:sz w:val="18"/>
                <w:szCs w:val="18"/>
                <w:color w:val="auto"/>
              </w:rPr>
              <w:t>the undersigned has caused this Limited Power of</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w w:val="99"/>
              </w:rPr>
              <w:t>Attorney to be</w:t>
            </w:r>
          </w:p>
        </w:tc>
      </w:tr>
      <w:tr>
        <w:trPr>
          <w:trHeight w:val="191"/>
        </w:trPr>
        <w:tc>
          <w:tcPr>
            <w:tcW w:w="2060" w:type="dxa"/>
            <w:vAlign w:val="bottom"/>
          </w:tcPr>
          <w:p>
            <w:pPr>
              <w:spacing w:after="0" w:line="191" w:lineRule="exact"/>
              <w:rPr>
                <w:sz w:val="20"/>
                <w:szCs w:val="20"/>
                <w:color w:val="auto"/>
              </w:rPr>
            </w:pPr>
            <w:r>
              <w:rPr>
                <w:rFonts w:ascii="Courier New" w:cs="Courier New" w:eastAsia="Courier New" w:hAnsi="Courier New"/>
                <w:sz w:val="18"/>
                <w:szCs w:val="18"/>
                <w:color w:val="auto"/>
                <w:w w:val="99"/>
              </w:rPr>
              <w:t>executed as of this</w:t>
            </w:r>
          </w:p>
        </w:tc>
        <w:tc>
          <w:tcPr>
            <w:tcW w:w="2380" w:type="dxa"/>
            <w:vAlign w:val="bottom"/>
            <w:tcBorders>
              <w:bottom w:val="single" w:sz="8" w:color="auto"/>
            </w:tcBorders>
          </w:tcPr>
          <w:p>
            <w:pPr>
              <w:ind w:left="980"/>
              <w:spacing w:after="0" w:line="191" w:lineRule="exact"/>
              <w:rPr>
                <w:sz w:val="20"/>
                <w:szCs w:val="20"/>
                <w:color w:val="auto"/>
              </w:rPr>
            </w:pPr>
            <w:r>
              <w:rPr>
                <w:rFonts w:ascii="Courier New" w:cs="Courier New" w:eastAsia="Courier New" w:hAnsi="Courier New"/>
                <w:sz w:val="18"/>
                <w:szCs w:val="18"/>
                <w:color w:val="auto"/>
              </w:rPr>
              <w:t>25th</w:t>
            </w:r>
          </w:p>
        </w:tc>
        <w:tc>
          <w:tcPr>
            <w:tcW w:w="760" w:type="dxa"/>
            <w:vAlign w:val="bottom"/>
          </w:tcPr>
          <w:p>
            <w:pPr>
              <w:spacing w:after="0" w:line="191" w:lineRule="exact"/>
              <w:rPr>
                <w:sz w:val="20"/>
                <w:szCs w:val="20"/>
                <w:color w:val="auto"/>
              </w:rPr>
            </w:pPr>
            <w:r>
              <w:rPr>
                <w:rFonts w:ascii="Courier New" w:cs="Courier New" w:eastAsia="Courier New" w:hAnsi="Courier New"/>
                <w:sz w:val="18"/>
                <w:szCs w:val="18"/>
                <w:color w:val="auto"/>
              </w:rPr>
              <w:t>day of</w:t>
            </w:r>
          </w:p>
        </w:tc>
        <w:tc>
          <w:tcPr>
            <w:tcW w:w="1560" w:type="dxa"/>
            <w:vAlign w:val="bottom"/>
            <w:tcBorders>
              <w:bottom w:val="single" w:sz="8" w:color="auto"/>
            </w:tcBorders>
          </w:tcPr>
          <w:p>
            <w:pPr>
              <w:ind w:left="540"/>
              <w:spacing w:after="0" w:line="191" w:lineRule="exact"/>
              <w:rPr>
                <w:sz w:val="20"/>
                <w:szCs w:val="20"/>
                <w:color w:val="auto"/>
              </w:rPr>
            </w:pPr>
            <w:r>
              <w:rPr>
                <w:rFonts w:ascii="Courier New" w:cs="Courier New" w:eastAsia="Courier New" w:hAnsi="Courier New"/>
                <w:sz w:val="18"/>
                <w:szCs w:val="18"/>
                <w:color w:val="auto"/>
              </w:rPr>
              <w:t>April</w:t>
            </w:r>
          </w:p>
        </w:tc>
        <w:tc>
          <w:tcPr>
            <w:tcW w:w="480" w:type="dxa"/>
            <w:vAlign w:val="bottom"/>
            <w:tcBorders>
              <w:bottom w:val="single" w:sz="8" w:color="auto"/>
            </w:tcBorders>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Courier New" w:cs="Courier New" w:eastAsia="Courier New" w:hAnsi="Courier New"/>
                <w:sz w:val="18"/>
                <w:szCs w:val="18"/>
                <w:color w:val="auto"/>
                <w:w w:val="92"/>
              </w:rPr>
              <w:t>,</w:t>
            </w:r>
          </w:p>
        </w:tc>
        <w:tc>
          <w:tcPr>
            <w:tcW w:w="1580" w:type="dxa"/>
            <w:vAlign w:val="bottom"/>
          </w:tcPr>
          <w:p>
            <w:pPr>
              <w:ind w:left="60"/>
              <w:spacing w:after="0" w:line="191" w:lineRule="exact"/>
              <w:rPr>
                <w:sz w:val="20"/>
                <w:szCs w:val="20"/>
                <w:color w:val="auto"/>
              </w:rPr>
            </w:pPr>
            <w:r>
              <w:rPr>
                <w:rFonts w:ascii="Courier New" w:cs="Courier New" w:eastAsia="Courier New" w:hAnsi="Courier New"/>
                <w:sz w:val="18"/>
                <w:szCs w:val="18"/>
                <w:color w:val="auto"/>
              </w:rPr>
              <w:t>2007</w:t>
            </w:r>
          </w:p>
        </w:tc>
      </w:tr>
    </w:tbl>
    <w:p>
      <w:pPr>
        <w:spacing w:after="0" w:line="267"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u w:val="single" w:color="auto"/>
          <w:color w:val="auto"/>
        </w:rPr>
        <w:t>/s/ Rupert H. Johnson, Jr.</w:t>
      </w:r>
    </w:p>
    <w:p>
      <w:pPr>
        <w:spacing w:after="0" w:line="2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Signature</w:t>
      </w:r>
    </w:p>
    <w:p>
      <w:pPr>
        <w:spacing w:after="0" w:line="134"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u w:val="single" w:color="auto"/>
          <w:color w:val="auto"/>
        </w:rPr>
        <w:t>Rupert H. Johnson, Jr.</w:t>
      </w:r>
    </w:p>
    <w:p>
      <w:pPr>
        <w:spacing w:after="0" w:line="2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153670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663" w:right="1440"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20"/>
                <w:szCs w:val="20"/>
                <w:color w:val="auto"/>
              </w:rPr>
            </w:pPr>
            <w:r>
              <w:rPr>
                <w:rFonts w:ascii="Courier New" w:cs="Courier New" w:eastAsia="Courier New" w:hAnsi="Courier New"/>
                <w:sz w:val="18"/>
                <w:szCs w:val="18"/>
                <w:color w:val="auto"/>
              </w:rPr>
              <w:t>CUSIP NO. G5509L101</w:t>
            </w:r>
          </w:p>
        </w:tc>
        <w:tc>
          <w:tcPr>
            <w:tcW w:w="640" w:type="dxa"/>
            <w:vAlign w:val="bottom"/>
          </w:tcPr>
          <w:p>
            <w:pPr>
              <w:ind w:left="120"/>
              <w:spacing w:after="0"/>
              <w:rPr>
                <w:sz w:val="20"/>
                <w:szCs w:val="20"/>
                <w:color w:val="auto"/>
              </w:rPr>
            </w:pPr>
            <w:r>
              <w:rPr>
                <w:rFonts w:ascii="Courier New" w:cs="Courier New" w:eastAsia="Courier New" w:hAnsi="Courier New"/>
                <w:sz w:val="18"/>
                <w:szCs w:val="18"/>
                <w:color w:val="auto"/>
              </w:rPr>
              <w:t>13G</w:t>
            </w:r>
          </w:p>
        </w:tc>
        <w:tc>
          <w:tcPr>
            <w:tcW w:w="1900" w:type="dxa"/>
            <w:vAlign w:val="bottom"/>
          </w:tcPr>
          <w:p>
            <w:pPr>
              <w:ind w:left="120"/>
              <w:spacing w:after="0"/>
              <w:rPr>
                <w:sz w:val="20"/>
                <w:szCs w:val="20"/>
                <w:color w:val="auto"/>
              </w:rPr>
            </w:pPr>
            <w:r>
              <w:rPr>
                <w:rFonts w:ascii="Courier New" w:cs="Courier New" w:eastAsia="Courier New" w:hAnsi="Courier New"/>
                <w:sz w:val="18"/>
                <w:szCs w:val="18"/>
                <w:color w:val="auto"/>
              </w:rPr>
              <w:t>Page 14 of 14</w:t>
            </w:r>
          </w:p>
        </w:tc>
        <w:tc>
          <w:tcPr>
            <w:tcW w:w="2200" w:type="dxa"/>
            <w:vAlign w:val="bottom"/>
          </w:tcPr>
          <w:p>
            <w:pPr>
              <w:spacing w:after="0"/>
              <w:rPr>
                <w:sz w:val="17"/>
                <w:szCs w:val="17"/>
                <w:color w:val="auto"/>
              </w:rPr>
            </w:pPr>
          </w:p>
        </w:tc>
      </w:tr>
      <w:tr>
        <w:trPr>
          <w:trHeight w:val="351"/>
        </w:trPr>
        <w:tc>
          <w:tcPr>
            <w:tcW w:w="4860" w:type="dxa"/>
            <w:vAlign w:val="bottom"/>
          </w:tcPr>
          <w:p>
            <w:pPr>
              <w:ind w:left="200"/>
              <w:spacing w:after="0"/>
              <w:rPr>
                <w:sz w:val="20"/>
                <w:szCs w:val="20"/>
                <w:color w:val="auto"/>
              </w:rPr>
            </w:pPr>
            <w:r>
              <w:rPr>
                <w:rFonts w:ascii="Courier New" w:cs="Courier New" w:eastAsia="Courier New" w:hAnsi="Courier New"/>
                <w:sz w:val="18"/>
                <w:szCs w:val="18"/>
                <w:color w:val="auto"/>
              </w:rPr>
              <w:t>EXHIBIT C</w:t>
            </w:r>
          </w:p>
        </w:tc>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19"/>
        </w:trPr>
        <w:tc>
          <w:tcPr>
            <w:tcW w:w="4860" w:type="dxa"/>
            <w:vAlign w:val="bottom"/>
          </w:tcPr>
          <w:p>
            <w:pPr>
              <w:ind w:left="200"/>
              <w:spacing w:after="0"/>
              <w:rPr>
                <w:sz w:val="20"/>
                <w:szCs w:val="20"/>
                <w:color w:val="auto"/>
              </w:rPr>
            </w:pPr>
            <w:r>
              <w:rPr>
                <w:rFonts w:ascii="Courier New" w:cs="Courier New" w:eastAsia="Courier New" w:hAnsi="Courier New"/>
                <w:sz w:val="18"/>
                <w:szCs w:val="18"/>
                <w:color w:val="auto"/>
              </w:rPr>
              <w:t>Franklin Advisers, Inc.</w:t>
            </w:r>
          </w:p>
        </w:tc>
        <w:tc>
          <w:tcPr>
            <w:tcW w:w="640" w:type="dxa"/>
            <w:vAlign w:val="bottom"/>
          </w:tcPr>
          <w:p>
            <w:pPr>
              <w:spacing w:after="0"/>
              <w:rPr>
                <w:sz w:val="24"/>
                <w:szCs w:val="24"/>
                <w:color w:val="auto"/>
              </w:rPr>
            </w:pPr>
          </w:p>
        </w:tc>
        <w:tc>
          <w:tcPr>
            <w:tcW w:w="4100" w:type="dxa"/>
            <w:vAlign w:val="bottom"/>
            <w:gridSpan w:val="2"/>
          </w:tcPr>
          <w:p>
            <w:pPr>
              <w:ind w:left="1180"/>
              <w:spacing w:after="0"/>
              <w:rPr>
                <w:sz w:val="20"/>
                <w:szCs w:val="20"/>
                <w:color w:val="auto"/>
              </w:rPr>
            </w:pPr>
            <w:r>
              <w:rPr>
                <w:rFonts w:ascii="Courier New" w:cs="Courier New" w:eastAsia="Courier New" w:hAnsi="Courier New"/>
                <w:sz w:val="18"/>
                <w:szCs w:val="18"/>
                <w:color w:val="auto"/>
                <w:w w:val="99"/>
              </w:rPr>
              <w:t>Item 3 Classification: 3(e)</w:t>
            </w:r>
          </w:p>
        </w:tc>
      </w:tr>
      <w:tr>
        <w:trPr>
          <w:trHeight w:val="365"/>
        </w:trPr>
        <w:tc>
          <w:tcPr>
            <w:tcW w:w="550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Franklin Templeton Investment Management Limited</w:t>
            </w:r>
          </w:p>
        </w:tc>
        <w:tc>
          <w:tcPr>
            <w:tcW w:w="4100" w:type="dxa"/>
            <w:vAlign w:val="bottom"/>
            <w:gridSpan w:val="2"/>
          </w:tcPr>
          <w:p>
            <w:pPr>
              <w:ind w:left="1180"/>
              <w:spacing w:after="0"/>
              <w:rPr>
                <w:sz w:val="20"/>
                <w:szCs w:val="20"/>
                <w:color w:val="auto"/>
              </w:rPr>
            </w:pPr>
            <w:r>
              <w:rPr>
                <w:rFonts w:ascii="Courier New" w:cs="Courier New" w:eastAsia="Courier New" w:hAnsi="Courier New"/>
                <w:sz w:val="18"/>
                <w:szCs w:val="18"/>
                <w:color w:val="auto"/>
                <w:w w:val="99"/>
              </w:rPr>
              <w:t>Item 3 Classification: 3(e)</w:t>
            </w:r>
          </w:p>
        </w:tc>
      </w:tr>
      <w:tr>
        <w:trPr>
          <w:trHeight w:val="365"/>
        </w:trPr>
        <w:tc>
          <w:tcPr>
            <w:tcW w:w="4860" w:type="dxa"/>
            <w:vAlign w:val="bottom"/>
          </w:tcPr>
          <w:p>
            <w:pPr>
              <w:ind w:left="200"/>
              <w:spacing w:after="0"/>
              <w:rPr>
                <w:sz w:val="20"/>
                <w:szCs w:val="20"/>
                <w:color w:val="auto"/>
              </w:rPr>
            </w:pPr>
            <w:r>
              <w:rPr>
                <w:rFonts w:ascii="Courier New" w:cs="Courier New" w:eastAsia="Courier New" w:hAnsi="Courier New"/>
                <w:sz w:val="18"/>
                <w:szCs w:val="18"/>
                <w:color w:val="auto"/>
              </w:rPr>
              <w:t>Franklin Templeton Investments (Asia) Ltd.</w:t>
            </w:r>
          </w:p>
        </w:tc>
        <w:tc>
          <w:tcPr>
            <w:tcW w:w="640" w:type="dxa"/>
            <w:vAlign w:val="bottom"/>
          </w:tcPr>
          <w:p>
            <w:pPr>
              <w:spacing w:after="0"/>
              <w:rPr>
                <w:sz w:val="24"/>
                <w:szCs w:val="24"/>
                <w:color w:val="auto"/>
              </w:rPr>
            </w:pPr>
          </w:p>
        </w:tc>
        <w:tc>
          <w:tcPr>
            <w:tcW w:w="4100" w:type="dxa"/>
            <w:vAlign w:val="bottom"/>
            <w:gridSpan w:val="2"/>
          </w:tcPr>
          <w:p>
            <w:pPr>
              <w:ind w:left="1180"/>
              <w:spacing w:after="0"/>
              <w:rPr>
                <w:sz w:val="20"/>
                <w:szCs w:val="20"/>
                <w:color w:val="auto"/>
              </w:rPr>
            </w:pPr>
            <w:r>
              <w:rPr>
                <w:rFonts w:ascii="Courier New" w:cs="Courier New" w:eastAsia="Courier New" w:hAnsi="Courier New"/>
                <w:sz w:val="18"/>
                <w:szCs w:val="18"/>
                <w:color w:val="auto"/>
                <w:w w:val="99"/>
              </w:rPr>
              <w:t>Item 3 Classification: 3(e)</w:t>
            </w:r>
          </w:p>
        </w:tc>
      </w:tr>
      <w:tr>
        <w:trPr>
          <w:trHeight w:val="365"/>
        </w:trPr>
        <w:tc>
          <w:tcPr>
            <w:tcW w:w="4860" w:type="dxa"/>
            <w:vAlign w:val="bottom"/>
          </w:tcPr>
          <w:p>
            <w:pPr>
              <w:ind w:left="200"/>
              <w:spacing w:after="0"/>
              <w:rPr>
                <w:sz w:val="20"/>
                <w:szCs w:val="20"/>
                <w:color w:val="auto"/>
              </w:rPr>
            </w:pPr>
            <w:r>
              <w:rPr>
                <w:rFonts w:ascii="Courier New" w:cs="Courier New" w:eastAsia="Courier New" w:hAnsi="Courier New"/>
                <w:sz w:val="18"/>
                <w:szCs w:val="18"/>
                <w:color w:val="auto"/>
              </w:rPr>
              <w:t>Franklin Templeton Investments Corp.</w:t>
            </w:r>
          </w:p>
        </w:tc>
        <w:tc>
          <w:tcPr>
            <w:tcW w:w="640" w:type="dxa"/>
            <w:vAlign w:val="bottom"/>
          </w:tcPr>
          <w:p>
            <w:pPr>
              <w:spacing w:after="0"/>
              <w:rPr>
                <w:sz w:val="24"/>
                <w:szCs w:val="24"/>
                <w:color w:val="auto"/>
              </w:rPr>
            </w:pPr>
          </w:p>
        </w:tc>
        <w:tc>
          <w:tcPr>
            <w:tcW w:w="1900" w:type="dxa"/>
            <w:vAlign w:val="bottom"/>
          </w:tcPr>
          <w:p>
            <w:pPr>
              <w:ind w:left="1180"/>
              <w:spacing w:after="0"/>
              <w:rPr>
                <w:sz w:val="20"/>
                <w:szCs w:val="20"/>
                <w:color w:val="auto"/>
              </w:rPr>
            </w:pPr>
            <w:r>
              <w:rPr>
                <w:rFonts w:ascii="Courier New" w:cs="Courier New" w:eastAsia="Courier New" w:hAnsi="Courier New"/>
                <w:sz w:val="18"/>
                <w:szCs w:val="18"/>
                <w:color w:val="auto"/>
              </w:rPr>
              <w:t>Item 3</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Classification: 3(e)</w:t>
            </w:r>
          </w:p>
        </w:tc>
      </w:tr>
      <w:tr>
        <w:trPr>
          <w:trHeight w:val="365"/>
        </w:trPr>
        <w:tc>
          <w:tcPr>
            <w:tcW w:w="4860" w:type="dxa"/>
            <w:vAlign w:val="bottom"/>
          </w:tcPr>
          <w:p>
            <w:pPr>
              <w:ind w:left="200"/>
              <w:spacing w:after="0"/>
              <w:rPr>
                <w:sz w:val="20"/>
                <w:szCs w:val="20"/>
                <w:color w:val="auto"/>
              </w:rPr>
            </w:pPr>
            <w:r>
              <w:rPr>
                <w:rFonts w:ascii="Courier New" w:cs="Courier New" w:eastAsia="Courier New" w:hAnsi="Courier New"/>
                <w:sz w:val="18"/>
                <w:szCs w:val="18"/>
                <w:color w:val="auto"/>
              </w:rPr>
              <w:t>Templeton Global Advisors Limited</w:t>
            </w:r>
          </w:p>
        </w:tc>
        <w:tc>
          <w:tcPr>
            <w:tcW w:w="640" w:type="dxa"/>
            <w:vAlign w:val="bottom"/>
          </w:tcPr>
          <w:p>
            <w:pPr>
              <w:spacing w:after="0"/>
              <w:rPr>
                <w:sz w:val="24"/>
                <w:szCs w:val="24"/>
                <w:color w:val="auto"/>
              </w:rPr>
            </w:pPr>
          </w:p>
        </w:tc>
        <w:tc>
          <w:tcPr>
            <w:tcW w:w="1900" w:type="dxa"/>
            <w:vAlign w:val="bottom"/>
          </w:tcPr>
          <w:p>
            <w:pPr>
              <w:ind w:left="1180"/>
              <w:spacing w:after="0"/>
              <w:rPr>
                <w:sz w:val="20"/>
                <w:szCs w:val="20"/>
                <w:color w:val="auto"/>
              </w:rPr>
            </w:pPr>
            <w:r>
              <w:rPr>
                <w:rFonts w:ascii="Courier New" w:cs="Courier New" w:eastAsia="Courier New" w:hAnsi="Courier New"/>
                <w:sz w:val="18"/>
                <w:szCs w:val="18"/>
                <w:color w:val="auto"/>
              </w:rPr>
              <w:t>Item 3</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Classification: 3(e)</w:t>
            </w:r>
          </w:p>
        </w:tc>
      </w:tr>
      <w:tr>
        <w:trPr>
          <w:trHeight w:val="365"/>
        </w:trPr>
        <w:tc>
          <w:tcPr>
            <w:tcW w:w="4860" w:type="dxa"/>
            <w:vAlign w:val="bottom"/>
          </w:tcPr>
          <w:p>
            <w:pPr>
              <w:ind w:left="200"/>
              <w:spacing w:after="0"/>
              <w:rPr>
                <w:sz w:val="20"/>
                <w:szCs w:val="20"/>
                <w:color w:val="auto"/>
              </w:rPr>
            </w:pPr>
            <w:r>
              <w:rPr>
                <w:rFonts w:ascii="Courier New" w:cs="Courier New" w:eastAsia="Courier New" w:hAnsi="Courier New"/>
                <w:sz w:val="18"/>
                <w:szCs w:val="18"/>
                <w:color w:val="auto"/>
              </w:rPr>
              <w:t>Templeton Investment Counsel, LLC</w:t>
            </w:r>
          </w:p>
        </w:tc>
        <w:tc>
          <w:tcPr>
            <w:tcW w:w="640" w:type="dxa"/>
            <w:vAlign w:val="bottom"/>
          </w:tcPr>
          <w:p>
            <w:pPr>
              <w:spacing w:after="0"/>
              <w:rPr>
                <w:sz w:val="24"/>
                <w:szCs w:val="24"/>
                <w:color w:val="auto"/>
              </w:rPr>
            </w:pPr>
          </w:p>
        </w:tc>
        <w:tc>
          <w:tcPr>
            <w:tcW w:w="1900" w:type="dxa"/>
            <w:vAlign w:val="bottom"/>
          </w:tcPr>
          <w:p>
            <w:pPr>
              <w:ind w:left="1180"/>
              <w:spacing w:after="0"/>
              <w:rPr>
                <w:sz w:val="20"/>
                <w:szCs w:val="20"/>
                <w:color w:val="auto"/>
              </w:rPr>
            </w:pPr>
            <w:r>
              <w:rPr>
                <w:rFonts w:ascii="Courier New" w:cs="Courier New" w:eastAsia="Courier New" w:hAnsi="Courier New"/>
                <w:sz w:val="18"/>
                <w:szCs w:val="18"/>
                <w:color w:val="auto"/>
              </w:rPr>
              <w:t>Item 3</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Classification: 3(e)</w:t>
            </w:r>
          </w:p>
        </w:tc>
      </w:tr>
    </w:tbl>
    <w:p>
      <w:pPr>
        <w:spacing w:after="0" w:line="1" w:lineRule="exact"/>
        <w:rPr>
          <w:sz w:val="20"/>
          <w:szCs w:val="20"/>
          <w:color w:val="auto"/>
        </w:rPr>
      </w:pPr>
    </w:p>
    <w:sectPr>
      <w:pgSz w:w="11900" w:h="16838" w:orient="portrait"/>
      <w:cols w:equalWidth="0" w:num="1">
        <w:col w:w="9919"/>
      </w:cols>
      <w:pgMar w:left="540" w:top="6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Gothic">
    <w:panose1 w:val="020B0609070205080204"/>
    <w:charset w:val="80"/>
    <w:family w:val="auto"/>
    <w:pitch w:val="fixed"/>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upperLetter"/>
      <w:start w:val="24"/>
    </w:lvl>
  </w:abstractNum>
  <w:abstractNum w:abstractNumId="1">
    <w:nsid w:val="257130A3"/>
    <w:multiLevelType w:val="hybridMultilevel"/>
    <w:lvl w:ilvl="0">
      <w:lvlJc w:val="left"/>
      <w:lvlText w:val="%1."/>
      <w:numFmt w:val="decimal"/>
      <w:start w:val="1"/>
    </w:lvl>
  </w:abstractNum>
  <w:abstractNum w:abstractNumId="2">
    <w:nsid w:val="62BBD95A"/>
    <w:multiLevelType w:val="hybridMultilevel"/>
    <w:lvl w:ilvl="0">
      <w:lvlJc w:val="left"/>
      <w:lvlText w:val="%1"/>
      <w:numFmt w:val="decimal"/>
      <w:start w:val="1"/>
    </w:lvl>
    <w:lvl w:ilvl="1">
      <w:lvlJc w:val="left"/>
      <w:lvlText w:val="(%2)"/>
      <w:numFmt w:val="lowerLetter"/>
      <w:start w:val="2"/>
    </w:lvl>
  </w:abstractNum>
  <w:abstractNum w:abstractNumId="3">
    <w:nsid w:val="436C6125"/>
    <w:multiLevelType w:val="hybridMultilevel"/>
    <w:lvl w:ilvl="0">
      <w:lvlJc w:val="left"/>
      <w:lvlText w:val="%1."/>
      <w:numFmt w:val="decimal"/>
      <w:start w:val="3"/>
    </w:lvl>
    <w:lvl w:ilvl="1">
      <w:lvlJc w:val="left"/>
      <w:lvlText w:val="%2"/>
      <w:numFmt w:val="lowerLetter"/>
      <w:start w:val="1"/>
    </w:lvl>
  </w:abstractNum>
  <w:abstractNum w:abstractNumId="4">
    <w:nsid w:val="628C895D"/>
    <w:multiLevelType w:val="hybridMultilevel"/>
    <w:lvl w:ilvl="0">
      <w:lvlJc w:val="left"/>
      <w:lvlText w:val="%1."/>
      <w:numFmt w:val="decimal"/>
      <w:start w:val="5"/>
    </w:lvl>
  </w:abstractNum>
  <w:abstractNum w:abstractNumId="5">
    <w:nsid w:val="333AB105"/>
    <w:multiLevelType w:val="hybridMultilevel"/>
    <w:lvl w:ilvl="0">
      <w:lvlJc w:val="left"/>
      <w:lvlText w:val="%1."/>
      <w:numFmt w:val="decimal"/>
      <w:start w:val="1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1"/>
    </w:lvl>
    <w:lvl w:ilvl="1">
      <w:lvlJc w:val="left"/>
      <w:lvlText w:val="(%2)"/>
      <w:numFmt w:val="lowerLetter"/>
      <w:start w:val="2"/>
    </w:lvl>
  </w:abstractNum>
  <w:abstractNum w:abstractNumId="8">
    <w:nsid w:val="2D1D5AE9"/>
    <w:multiLevelType w:val="hybridMultilevel"/>
    <w:lvl w:ilvl="0">
      <w:lvlJc w:val="left"/>
      <w:lvlText w:val="%1."/>
      <w:numFmt w:val="decimal"/>
      <w:start w:val="3"/>
    </w:lvl>
    <w:lvl w:ilvl="1">
      <w:lvlJc w:val="left"/>
      <w:lvlText w:val="%2"/>
      <w:numFmt w:val="lowerLetter"/>
      <w:start w:val="1"/>
    </w:lvl>
  </w:abstractNum>
  <w:abstractNum w:abstractNumId="9">
    <w:nsid w:val="6763845E"/>
    <w:multiLevelType w:val="hybridMultilevel"/>
    <w:lvl w:ilvl="0">
      <w:lvlJc w:val="left"/>
      <w:lvlText w:val="%1."/>
      <w:numFmt w:val="decimal"/>
      <w:start w:val="5"/>
    </w:lvl>
  </w:abstractNum>
  <w:abstractNum w:abstractNumId="10">
    <w:nsid w:val="75A2A8D4"/>
    <w:multiLevelType w:val="hybridMultilevel"/>
    <w:lvl w:ilvl="0">
      <w:lvlJc w:val="left"/>
      <w:lvlText w:val="%1."/>
      <w:numFmt w:val="decimal"/>
      <w:start w:val="1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1"/>
    </w:lvl>
    <w:lvl w:ilvl="1">
      <w:lvlJc w:val="left"/>
      <w:lvlText w:val="(%2)"/>
      <w:numFmt w:val="lowerLetter"/>
      <w:start w:val="2"/>
    </w:lvl>
  </w:abstractNum>
  <w:abstractNum w:abstractNumId="13">
    <w:nsid w:val="4353D0CD"/>
    <w:multiLevelType w:val="hybridMultilevel"/>
    <w:lvl w:ilvl="0">
      <w:lvlJc w:val="left"/>
      <w:lvlText w:val="%1."/>
      <w:numFmt w:val="decimal"/>
      <w:start w:val="3"/>
    </w:lvl>
    <w:lvl w:ilvl="1">
      <w:lvlJc w:val="left"/>
      <w:lvlText w:val="%2"/>
      <w:numFmt w:val="lowerLetter"/>
      <w:start w:val="1"/>
    </w:lvl>
  </w:abstractNum>
  <w:abstractNum w:abstractNumId="14">
    <w:nsid w:val="B03E0C6"/>
    <w:multiLevelType w:val="hybridMultilevel"/>
    <w:lvl w:ilvl="0">
      <w:lvlJc w:val="left"/>
      <w:lvlText w:val="%1."/>
      <w:numFmt w:val="decimal"/>
      <w:start w:val="5"/>
    </w:lvl>
  </w:abstractNum>
  <w:abstractNum w:abstractNumId="15">
    <w:nsid w:val="189A769B"/>
    <w:multiLevelType w:val="hybridMultilevel"/>
    <w:lvl w:ilvl="0">
      <w:lvlJc w:val="left"/>
      <w:lvlText w:val="%1."/>
      <w:numFmt w:val="decimal"/>
      <w:start w:val="11"/>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decimal"/>
      <w:start w:val="1"/>
    </w:lvl>
    <w:lvl w:ilvl="1">
      <w:lvlJc w:val="left"/>
      <w:lvlText w:val="(%2)"/>
      <w:numFmt w:val="lowerLetter"/>
      <w:start w:val="2"/>
    </w:lvl>
  </w:abstractNum>
  <w:abstractNum w:abstractNumId="18">
    <w:nsid w:val="2CA88611"/>
    <w:multiLevelType w:val="hybridMultilevel"/>
    <w:lvl w:ilvl="0">
      <w:lvlJc w:val="left"/>
      <w:lvlText w:val="%1."/>
      <w:numFmt w:val="decimal"/>
      <w:start w:val="3"/>
    </w:lvl>
    <w:lvl w:ilvl="1">
      <w:lvlJc w:val="left"/>
      <w:lvlText w:val="%2"/>
      <w:numFmt w:val="lowerLetter"/>
      <w:start w:val="1"/>
    </w:lvl>
  </w:abstractNum>
  <w:abstractNum w:abstractNumId="19">
    <w:nsid w:val="836C40E"/>
    <w:multiLevelType w:val="hybridMultilevel"/>
    <w:lvl w:ilvl="0">
      <w:lvlJc w:val="left"/>
      <w:lvlText w:val="%1."/>
      <w:numFmt w:val="decimal"/>
      <w:start w:val="5"/>
    </w:lvl>
  </w:abstractNum>
  <w:abstractNum w:abstractNumId="20">
    <w:nsid w:val="2901D82"/>
    <w:multiLevelType w:val="hybridMultilevel"/>
    <w:lvl w:ilvl="0">
      <w:lvlJc w:val="left"/>
      <w:lvlText w:val="%1."/>
      <w:numFmt w:val="decimal"/>
      <w:start w:val="11"/>
    </w:lvl>
  </w:abstractNum>
  <w:abstractNum w:abstractNumId="21">
    <w:nsid w:val="3A95F874"/>
    <w:multiLevelType w:val="hybridMultilevel"/>
    <w:lvl w:ilvl="0">
      <w:lvlJc w:val="left"/>
      <w:lvlText w:val="(%1)"/>
      <w:numFmt w:val="lowerLetter"/>
      <w:start w:val="1"/>
    </w:lvl>
  </w:abstractNum>
  <w:abstractNum w:abstractNumId="22">
    <w:nsid w:val="8138641"/>
    <w:multiLevelType w:val="hybridMultilevel"/>
    <w:lvl w:ilvl="0">
      <w:lvlJc w:val="left"/>
      <w:lvlText w:val="(%1)"/>
      <w:numFmt w:val="lowerLetter"/>
      <w:start w:val="1"/>
    </w:lvl>
  </w:abstractNum>
  <w:abstractNum w:abstractNumId="23">
    <w:nsid w:val="1E7FF521"/>
    <w:multiLevelType w:val="hybridMultilevel"/>
    <w:lvl w:ilvl="0">
      <w:lvlJc w:val="left"/>
      <w:lvlText w:val="(%1)"/>
      <w:numFmt w:val="lowerLetter"/>
      <w:start w:val="2"/>
    </w:lvl>
  </w:abstractNum>
  <w:abstractNum w:abstractNumId="24">
    <w:nsid w:val="7C3DBD3D"/>
    <w:multiLevelType w:val="hybridMultilevel"/>
    <w:lvl w:ilvl="0">
      <w:lvlJc w:val="left"/>
      <w:lvlText w:val="(%1)"/>
      <w:numFmt w:val="lowerLetter"/>
      <w:start w:val="3"/>
    </w:lvl>
  </w:abstractNum>
  <w:abstractNum w:abstractNumId="25">
    <w:nsid w:val="737B8DDC"/>
    <w:multiLevelType w:val="hybridMultilevel"/>
    <w:lvl w:ilvl="0">
      <w:lvlJc w:val="left"/>
      <w:lvlText w:val="%1"/>
      <w:numFmt w:val="lowerLetter"/>
      <w:start w:val="1"/>
    </w:lvl>
    <w:lvl w:ilvl="1">
      <w:lvlJc w:val="left"/>
      <w:lvlText w:val="(%2)"/>
      <w:numFmt w:val="lowerLetter"/>
      <w:start w:val="35"/>
    </w:lvl>
  </w:abstractNum>
  <w:abstractNum w:abstractNumId="26">
    <w:nsid w:val="6CEAF087"/>
    <w:multiLevelType w:val="hybridMultilevel"/>
    <w:lvl w:ilvl="0">
      <w:lvlJc w:val="left"/>
      <w:lvlText w:val="(%1)"/>
      <w:numFmt w:val="lowerLetter"/>
      <w:start w:val="4"/>
    </w:lvl>
    <w:lvl w:ilvl="1">
      <w:lvlJc w:val="left"/>
      <w:lvlText w:val="%2"/>
      <w:numFmt w:val="lowerLetter"/>
      <w:start w:val="1"/>
    </w:lvl>
  </w:abstractNum>
  <w:abstractNum w:abstractNumId="27">
    <w:nsid w:val="22221A70"/>
    <w:multiLevelType w:val="hybridMultilevel"/>
    <w:lvl w:ilvl="0">
      <w:lvlJc w:val="left"/>
      <w:lvlText w:val="(%1)"/>
      <w:numFmt w:val="lowerLetter"/>
      <w:start w:val="5"/>
    </w:lvl>
  </w:abstractNum>
  <w:abstractNum w:abstractNumId="28">
    <w:nsid w:val="4516DDE9"/>
    <w:multiLevelType w:val="hybridMultilevel"/>
    <w:lvl w:ilvl="0">
      <w:lvlJc w:val="left"/>
      <w:lvlText w:val="(%1)"/>
      <w:numFmt w:val="lowerLetter"/>
      <w:start w:val="1"/>
    </w:lvl>
  </w:abstractNum>
  <w:abstractNum w:abstractNumId="29">
    <w:nsid w:val="3006C83E"/>
    <w:multiLevelType w:val="hybridMultilevel"/>
    <w:lvl w:ilvl="0">
      <w:lvlJc w:val="left"/>
      <w:lvlText w:val="(%1)"/>
      <w:numFmt w:val="lowerLetter"/>
      <w:start w:val="7"/>
    </w:lvl>
  </w:abstractNum>
  <w:abstractNum w:abstractNumId="30">
    <w:nsid w:val="614FD4A1"/>
    <w:multiLevelType w:val="hybridMultilevel"/>
    <w:lvl w:ilvl="0">
      <w:lvlJc w:val="left"/>
      <w:lvlText w:val="(%1)"/>
      <w:numFmt w:val="lowerRoman"/>
      <w:start w:val="2"/>
    </w:lvl>
  </w:abstractNum>
  <w:abstractNum w:abstractNumId="31">
    <w:nsid w:val="419AC241"/>
    <w:multiLevelType w:val="hybridMultilevel"/>
    <w:lvl w:ilvl="0">
      <w:lvlJc w:val="left"/>
      <w:lvlText w:val="(%1)"/>
      <w:numFmt w:val="lowerRoman"/>
      <w:start w:val="3"/>
    </w:lvl>
  </w:abstractNum>
  <w:abstractNum w:abstractNumId="32">
    <w:nsid w:val="5577F8E1"/>
    <w:multiLevelType w:val="hybridMultilevel"/>
    <w:lvl w:ilvl="0">
      <w:lvlJc w:val="left"/>
      <w:lvlText w:val="(%1)"/>
      <w:numFmt w:val="lowerRoman"/>
      <w:start w:val="4"/>
    </w:lvl>
  </w:abstractNum>
  <w:abstractNum w:abstractNumId="33">
    <w:nsid w:val="440BADFC"/>
    <w:multiLevelType w:val="hybridMultilevel"/>
    <w:lvl w:ilvl="0">
      <w:lvlJc w:val="left"/>
      <w:lvlText w:val="(%1)"/>
      <w:numFmt w:val="decimal"/>
      <w:start w:val="1"/>
    </w:lvl>
  </w:abstractNum>
  <w:abstractNum w:abstractNumId="34">
    <w:nsid w:val="5072367"/>
    <w:multiLevelType w:val="hybridMultilevel"/>
    <w:lvl w:ilvl="0">
      <w:lvlJc w:val="left"/>
      <w:lvlText w:val="(%1)"/>
      <w:numFmt w:val="decimal"/>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2019-12-08T03:20:56Z</dcterms:created>
  <dcterms:modified xsi:type="dcterms:W3CDTF">2019-12-08T03:20:56Z</dcterms:modified>
</cp:coreProperties>
</file>