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February 25, 2025</w:t>
      </w:r>
    </w:p>
    <w:p>
      <w:pPr>
        <w:spacing w:after="0" w:line="287" w:lineRule="exact"/>
        <w:rPr>
          <w:sz w:val="24"/>
          <w:szCs w:val="24"/>
          <w:color w:val="auto"/>
        </w:rPr>
      </w:pPr>
    </w:p>
    <w:p>
      <w:pPr>
        <w:ind w:right="3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Annual Report on Form 10-K for the period ended December 31, 2024, which was filed with the Securities and Exchange Commission on February 25, 2025. The disclosure can be found within Part I, Item 1.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in the Annual Report on Form 10-K.</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VLADIMIR MAKATSARIA</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Vladimir Makatsaria</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2025-02-25T15:24:21Z</dcterms:created>
  <dcterms:modified xsi:type="dcterms:W3CDTF">2025-02-25T15:24:21Z</dcterms:modified>
</cp:coreProperties>
</file>