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02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0258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restart"/>
          </w:tcPr>
          <w:p>
            <w:pPr>
              <w:spacing w:after="0"/>
              <w:rPr>
                <w:rFonts w:ascii="Arial" w:cs="Arial" w:eastAsia="Arial" w:hAnsi="Arial"/>
                <w:sz w:val="22"/>
                <w:szCs w:val="22"/>
                <w:color w:val="0000EE"/>
                <w:w w:val="93"/>
              </w:rPr>
            </w:pPr>
            <w:hyperlink r:id="rId12">
              <w:r>
                <w:rPr>
                  <w:rFonts w:ascii="Arial" w:cs="Arial" w:eastAsia="Arial" w:hAnsi="Arial"/>
                  <w:sz w:val="22"/>
                  <w:szCs w:val="22"/>
                  <w:color w:val="0000EE"/>
                  <w:w w:val="93"/>
                </w:rPr>
                <w:t>Gianotti Stefano</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LivaNova PLC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LIVN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5 MERCHANT SQUARE</w:t>
            </w:r>
          </w:p>
        </w:tc>
        <w:tc>
          <w:tcPr>
            <w:tcW w:w="1200" w:type="dxa"/>
            <w:vAlign w:val="bottom"/>
          </w:tcPr>
          <w:p>
            <w:pPr>
              <w:spacing w:after="0"/>
              <w:rPr>
                <w:sz w:val="19"/>
                <w:szCs w:val="19"/>
                <w:color w:val="auto"/>
              </w:rPr>
            </w:pPr>
          </w:p>
        </w:tc>
        <w:tc>
          <w:tcPr>
            <w:tcW w:w="1540" w:type="dxa"/>
            <w:vAlign w:val="bottom"/>
            <w:gridSpan w:val="6"/>
          </w:tcPr>
          <w:p>
            <w:pPr>
              <w:ind w:left="240"/>
              <w:spacing w:after="0"/>
              <w:rPr>
                <w:sz w:val="20"/>
                <w:szCs w:val="20"/>
                <w:color w:val="auto"/>
              </w:rPr>
            </w:pPr>
            <w:r>
              <w:rPr>
                <w:rFonts w:ascii="Arial" w:cs="Arial" w:eastAsia="Arial" w:hAnsi="Arial"/>
                <w:sz w:val="18"/>
                <w:szCs w:val="18"/>
                <w:color w:val="0000FF"/>
              </w:rPr>
              <w:t>06/15/2016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NORTH WHARF ROAD</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8"/>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LONDON</w:t>
            </w:r>
          </w:p>
        </w:tc>
        <w:tc>
          <w:tcPr>
            <w:tcW w:w="220" w:type="dxa"/>
            <w:vAlign w:val="bottom"/>
            <w:gridSpan w:val="2"/>
          </w:tcPr>
          <w:p>
            <w:pPr>
              <w:spacing w:after="0"/>
              <w:rPr>
                <w:sz w:val="20"/>
                <w:szCs w:val="20"/>
                <w:color w:val="auto"/>
              </w:rPr>
            </w:pPr>
            <w:r>
              <w:rPr>
                <w:rFonts w:ascii="Arial" w:cs="Arial" w:eastAsia="Arial" w:hAnsi="Arial"/>
                <w:sz w:val="18"/>
                <w:szCs w:val="18"/>
                <w:color w:val="0000FF"/>
                <w:w w:val="90"/>
              </w:rPr>
              <w:t>X0</w:t>
            </w:r>
          </w:p>
        </w:tc>
        <w:tc>
          <w:tcPr>
            <w:tcW w:w="10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W2 1AY</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60" w:type="dxa"/>
            <w:vAlign w:val="bottom"/>
            <w:gridSpan w:val="8"/>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ind w:left="16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40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7"/>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5"/>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40"/>
              <w:spacing w:after="0"/>
              <w:rPr>
                <w:sz w:val="20"/>
                <w:szCs w:val="20"/>
                <w:color w:val="auto"/>
              </w:rPr>
            </w:pPr>
            <w:r>
              <w:rPr>
                <w:rFonts w:ascii="Arial" w:cs="Arial" w:eastAsia="Arial" w:hAnsi="Arial"/>
                <w:sz w:val="18"/>
                <w:szCs w:val="18"/>
                <w:color w:val="0000FF"/>
              </w:rPr>
              <w:t>06/15/2016</w:t>
            </w:r>
          </w:p>
        </w:tc>
        <w:tc>
          <w:tcPr>
            <w:tcW w:w="2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M</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1,209</w:t>
            </w:r>
            <w:r>
              <w:rPr>
                <w:rFonts w:ascii="Arial" w:cs="Arial" w:eastAsia="Arial" w:hAnsi="Arial"/>
                <w:sz w:val="22"/>
                <w:szCs w:val="22"/>
                <w:color w:val="008000"/>
                <w:vertAlign w:val="superscript"/>
              </w:rPr>
              <w:t>(1)</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3"/>
          </w:tcPr>
          <w:p>
            <w:pPr>
              <w:ind w:left="10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48.485</w:t>
            </w:r>
          </w:p>
        </w:tc>
        <w:tc>
          <w:tcPr>
            <w:tcW w:w="1220" w:type="dxa"/>
            <w:vAlign w:val="bottom"/>
            <w:tcBorders>
              <w:bottom w:val="single" w:sz="8" w:color="2C2C2C"/>
            </w:tcBorders>
            <w:gridSpan w:val="2"/>
          </w:tcPr>
          <w:p>
            <w:pPr>
              <w:jc w:val="right"/>
              <w:ind w:right="359"/>
              <w:spacing w:after="0"/>
              <w:rPr>
                <w:sz w:val="20"/>
                <w:szCs w:val="20"/>
                <w:color w:val="auto"/>
              </w:rPr>
            </w:pPr>
            <w:r>
              <w:rPr>
                <w:rFonts w:ascii="Arial" w:cs="Arial" w:eastAsia="Arial" w:hAnsi="Arial"/>
                <w:sz w:val="18"/>
                <w:szCs w:val="18"/>
                <w:color w:val="0000FF"/>
              </w:rPr>
              <w:t>1,209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40"/>
              <w:spacing w:after="0"/>
              <w:rPr>
                <w:sz w:val="20"/>
                <w:szCs w:val="20"/>
                <w:color w:val="auto"/>
              </w:rPr>
            </w:pPr>
            <w:r>
              <w:rPr>
                <w:rFonts w:ascii="Arial" w:cs="Arial" w:eastAsia="Arial" w:hAnsi="Arial"/>
                <w:sz w:val="18"/>
                <w:szCs w:val="18"/>
                <w:color w:val="0000FF"/>
              </w:rPr>
              <w:t>06/15/2016</w:t>
            </w:r>
          </w:p>
        </w:tc>
        <w:tc>
          <w:tcPr>
            <w:tcW w:w="2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D</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1,209</w:t>
            </w:r>
            <w:r>
              <w:rPr>
                <w:rFonts w:ascii="Arial" w:cs="Arial" w:eastAsia="Arial" w:hAnsi="Arial"/>
                <w:sz w:val="22"/>
                <w:szCs w:val="22"/>
                <w:color w:val="008000"/>
                <w:vertAlign w:val="superscript"/>
              </w:rPr>
              <w:t>(2)</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10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48.485</w:t>
            </w:r>
          </w:p>
        </w:tc>
        <w:tc>
          <w:tcPr>
            <w:tcW w:w="1220" w:type="dxa"/>
            <w:vAlign w:val="bottom"/>
            <w:tcBorders>
              <w:bottom w:val="single" w:sz="8" w:color="2C2C2C"/>
            </w:tcBorders>
            <w:gridSpan w:val="2"/>
          </w:tcPr>
          <w:p>
            <w:pPr>
              <w:jc w:val="right"/>
              <w:ind w:right="519"/>
              <w:spacing w:after="0"/>
              <w:rPr>
                <w:sz w:val="20"/>
                <w:szCs w:val="20"/>
                <w:color w:val="auto"/>
              </w:rPr>
            </w:pPr>
            <w:r>
              <w:rPr>
                <w:rFonts w:ascii="Arial" w:cs="Arial" w:eastAsia="Arial" w:hAnsi="Arial"/>
                <w:sz w:val="18"/>
                <w:szCs w:val="18"/>
                <w:color w:val="0000FF"/>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7"/>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5"/>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jc w:val="right"/>
              <w:ind w:right="313"/>
              <w:spacing w:after="0"/>
              <w:rPr>
                <w:sz w:val="20"/>
                <w:szCs w:val="20"/>
                <w:color w:val="auto"/>
              </w:rPr>
            </w:pPr>
            <w:r>
              <w:rPr>
                <w:rFonts w:ascii="Arial" w:cs="Arial" w:eastAsia="Arial" w:hAnsi="Arial"/>
                <w:sz w:val="11"/>
                <w:szCs w:val="11"/>
                <w:color w:val="008000"/>
              </w:rPr>
              <w:t>(3)</w:t>
            </w:r>
          </w:p>
        </w:tc>
        <w:tc>
          <w:tcPr>
            <w:tcW w:w="640" w:type="dxa"/>
            <w:vAlign w:val="bottom"/>
            <w:vMerge w:val="restart"/>
          </w:tcPr>
          <w:p>
            <w:pPr>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1,209</w:t>
            </w:r>
          </w:p>
        </w:tc>
        <w:tc>
          <w:tcPr>
            <w:tcW w:w="200" w:type="dxa"/>
            <w:vAlign w:val="bottom"/>
          </w:tcPr>
          <w:p>
            <w:pPr>
              <w:spacing w:after="0"/>
              <w:rPr>
                <w:sz w:val="16"/>
                <w:szCs w:val="16"/>
                <w:color w:val="auto"/>
              </w:rPr>
            </w:pPr>
          </w:p>
        </w:tc>
        <w:tc>
          <w:tcPr>
            <w:tcW w:w="600" w:type="dxa"/>
            <w:vAlign w:val="bottom"/>
            <w:vMerge w:val="restart"/>
          </w:tcPr>
          <w:p>
            <w:pPr>
              <w:ind w:left="100"/>
              <w:spacing w:after="0"/>
              <w:rPr>
                <w:sz w:val="20"/>
                <w:szCs w:val="20"/>
                <w:color w:val="auto"/>
              </w:rPr>
            </w:pP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ind w:left="200"/>
              <w:spacing w:after="0" w:line="133" w:lineRule="exact"/>
              <w:rPr>
                <w:sz w:val="20"/>
                <w:szCs w:val="20"/>
                <w:color w:val="auto"/>
              </w:rPr>
            </w:pPr>
            <w:r>
              <w:rPr>
                <w:rFonts w:ascii="Arial" w:cs="Arial" w:eastAsia="Arial" w:hAnsi="Arial"/>
                <w:sz w:val="14"/>
                <w:szCs w:val="14"/>
                <w:color w:val="0000FF"/>
              </w:rPr>
              <w:t>06/15/2016</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3"/>
          </w:tcPr>
          <w:p>
            <w:pPr>
              <w:ind w:left="80"/>
              <w:spacing w:after="0" w:line="133"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11"/>
                <w:szCs w:val="11"/>
                <w:color w:val="auto"/>
              </w:rPr>
            </w:pPr>
          </w:p>
        </w:tc>
        <w:tc>
          <w:tcPr>
            <w:tcW w:w="720" w:type="dxa"/>
            <w:vAlign w:val="bottom"/>
          </w:tcPr>
          <w:p>
            <w:pPr>
              <w:ind w:left="400"/>
              <w:spacing w:after="0" w:line="133" w:lineRule="exact"/>
              <w:rPr>
                <w:sz w:val="20"/>
                <w:szCs w:val="20"/>
                <w:color w:val="auto"/>
              </w:rPr>
            </w:pPr>
            <w:r>
              <w:rPr>
                <w:rFonts w:ascii="Arial" w:cs="Arial" w:eastAsia="Arial" w:hAnsi="Arial"/>
                <w:sz w:val="14"/>
                <w:szCs w:val="14"/>
                <w:color w:val="0000FF"/>
                <w:w w:val="85"/>
              </w:rPr>
              <w:t>1,209</w:t>
            </w: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tcPr>
          <w:p>
            <w:pPr>
              <w:ind w:left="380"/>
              <w:spacing w:after="0" w:line="133"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ind w:left="100"/>
              <w:spacing w:after="0" w:line="149" w:lineRule="exact"/>
              <w:rPr>
                <w:sz w:val="20"/>
                <w:szCs w:val="20"/>
                <w:color w:val="auto"/>
              </w:rPr>
            </w:pPr>
            <w:r>
              <w:rPr>
                <w:rFonts w:ascii="Arial" w:cs="Arial" w:eastAsia="Arial" w:hAnsi="Arial"/>
                <w:sz w:val="14"/>
                <w:szCs w:val="14"/>
                <w:color w:val="0000FF"/>
              </w:rPr>
              <w:t>Stock</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8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Restricted stock units ("RSUs") vested on June 15, 2016. The referenced RSUs are being settled in cash based on the closing price of the ordinary shares of LivaNova PLC (the "Company") on June 14, 2016. The Company is settling the RSUs in cash because it does not currently have ordinary shares available to settle the RSUs pursuant to their terms.</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disposed of to the Company to cover applicable taxes and to cash cover the remainder shares.</w:t>
      </w:r>
    </w:p>
    <w:p>
      <w:pPr>
        <w:spacing w:after="0" w:line="41" w:lineRule="exact"/>
        <w:rPr>
          <w:rFonts w:ascii="Arial" w:cs="Arial" w:eastAsia="Arial" w:hAnsi="Arial"/>
          <w:sz w:val="14"/>
          <w:szCs w:val="14"/>
          <w:color w:val="008000"/>
        </w:rPr>
      </w:pPr>
    </w:p>
    <w:p>
      <w:pPr>
        <w:ind w:left="40" w:right="26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October 19, 2015, reporting person was granted 1,209 RSUs which vest on the date of the next Annual General Meeting of the Company. Each RSU represents a contingent right to receive one ordinary share of the Company in accordance with the terms of the LivaNova PLC 2015 Incentive Award Plan. All of such RSUs vested and all restrictions thereon lapsed on June 15, 2016.</w:t>
      </w:r>
    </w:p>
    <w:tbl>
      <w:tblPr>
        <w:tblLayout w:type="fixed"/>
        <w:tblInd w:w="6860" w:type="dxa"/>
        <w:tblCellMar>
          <w:top w:w="0" w:type="dxa"/>
          <w:left w:w="0" w:type="dxa"/>
          <w:bottom w:w="0" w:type="dxa"/>
          <w:right w:w="0" w:type="dxa"/>
        </w:tblCellMar>
      </w:tblPr>
      <w:tr>
        <w:trPr>
          <w:trHeight w:val="199"/>
        </w:trPr>
        <w:tc>
          <w:tcPr>
            <w:tcW w:w="1380" w:type="dxa"/>
            <w:vAlign w:val="bottom"/>
          </w:tcPr>
          <w:p>
            <w:pPr>
              <w:spacing w:after="0" w:line="199" w:lineRule="exact"/>
              <w:rPr>
                <w:sz w:val="20"/>
                <w:szCs w:val="20"/>
                <w:color w:val="auto"/>
              </w:rPr>
            </w:pPr>
            <w:r>
              <w:rPr>
                <w:rFonts w:ascii="Arial" w:cs="Arial" w:eastAsia="Arial" w:hAnsi="Arial"/>
                <w:sz w:val="18"/>
                <w:szCs w:val="18"/>
                <w:color w:val="0000FF"/>
                <w:w w:val="88"/>
              </w:rPr>
              <w:t>/s/ Stefano Gianotti</w:t>
            </w:r>
          </w:p>
        </w:tc>
        <w:tc>
          <w:tcPr>
            <w:tcW w:w="740" w:type="dxa"/>
            <w:vAlign w:val="bottom"/>
          </w:tcPr>
          <w:p>
            <w:pPr>
              <w:spacing w:after="0"/>
              <w:rPr>
                <w:sz w:val="17"/>
                <w:szCs w:val="17"/>
                <w:color w:val="auto"/>
              </w:rPr>
            </w:pP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06/16/2016</w:t>
            </w:r>
          </w:p>
        </w:tc>
      </w:tr>
      <w:tr>
        <w:trPr>
          <w:trHeight w:val="20"/>
        </w:trPr>
        <w:tc>
          <w:tcPr>
            <w:tcW w:w="13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5983"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2019-12-09T02:14:31Z</dcterms:created>
  <dcterms:modified xsi:type="dcterms:W3CDTF">2019-12-09T02:14:31Z</dcterms:modified>
</cp:coreProperties>
</file>