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02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0258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MORRISON HUGH M</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LivaNova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LIVN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19"/>
                <w:szCs w:val="19"/>
                <w:color w:val="auto"/>
              </w:rPr>
            </w:pPr>
          </w:p>
        </w:tc>
        <w:tc>
          <w:tcPr>
            <w:tcW w:w="1540" w:type="dxa"/>
            <w:vAlign w:val="bottom"/>
            <w:gridSpan w:val="6"/>
          </w:tcPr>
          <w:p>
            <w:pPr>
              <w:ind w:left="240"/>
              <w:spacing w:after="0"/>
              <w:rPr>
                <w:sz w:val="20"/>
                <w:szCs w:val="20"/>
                <w:color w:val="auto"/>
              </w:rPr>
            </w:pPr>
            <w:r>
              <w:rPr>
                <w:rFonts w:ascii="Arial" w:cs="Arial" w:eastAsia="Arial" w:hAnsi="Arial"/>
                <w:sz w:val="18"/>
                <w:szCs w:val="18"/>
                <w:color w:val="0000FF"/>
              </w:rPr>
              <w:t>06/15/2016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8"/>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LONDON</w:t>
            </w:r>
          </w:p>
        </w:tc>
        <w:tc>
          <w:tcPr>
            <w:tcW w:w="220" w:type="dxa"/>
            <w:vAlign w:val="bottom"/>
          </w:tcPr>
          <w:p>
            <w:pPr>
              <w:spacing w:after="0"/>
              <w:rPr>
                <w:sz w:val="20"/>
                <w:szCs w:val="20"/>
                <w:color w:val="auto"/>
              </w:rPr>
            </w:pPr>
            <w:r>
              <w:rPr>
                <w:rFonts w:ascii="Arial" w:cs="Arial" w:eastAsia="Arial" w:hAnsi="Arial"/>
                <w:sz w:val="18"/>
                <w:szCs w:val="18"/>
                <w:color w:val="0000FF"/>
                <w:w w:val="90"/>
              </w:rPr>
              <w:t>X0</w:t>
            </w: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W2 1AY</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60" w:type="dxa"/>
            <w:vAlign w:val="bottom"/>
            <w:gridSpan w:val="8"/>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ind w:left="16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40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860" w:type="dxa"/>
            <w:vAlign w:val="bottom"/>
            <w:tcBorders>
              <w:top w:val="single" w:sz="8" w:color="2C2C2C"/>
            </w:tcBorders>
            <w:gridSpan w:val="17"/>
          </w:tcPr>
          <w:p>
            <w:pPr>
              <w:ind w:left="18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20" w:type="dxa"/>
            <w:vAlign w:val="bottom"/>
            <w:gridSpan w:val="5"/>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40"/>
              <w:spacing w:after="0"/>
              <w:rPr>
                <w:sz w:val="20"/>
                <w:szCs w:val="20"/>
                <w:color w:val="auto"/>
              </w:rPr>
            </w:pPr>
            <w:r>
              <w:rPr>
                <w:rFonts w:ascii="Arial" w:cs="Arial" w:eastAsia="Arial" w:hAnsi="Arial"/>
                <w:sz w:val="18"/>
                <w:szCs w:val="18"/>
                <w:color w:val="0000FF"/>
              </w:rPr>
              <w:t>06/15/2016</w:t>
            </w:r>
          </w:p>
        </w:tc>
        <w:tc>
          <w:tcPr>
            <w:tcW w:w="2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M</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1,209</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3"/>
          </w:tcPr>
          <w:p>
            <w:pPr>
              <w:ind w:left="1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48.485</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6,424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40"/>
              <w:spacing w:after="0"/>
              <w:rPr>
                <w:sz w:val="20"/>
                <w:szCs w:val="20"/>
                <w:color w:val="auto"/>
              </w:rPr>
            </w:pPr>
            <w:r>
              <w:rPr>
                <w:rFonts w:ascii="Arial" w:cs="Arial" w:eastAsia="Arial" w:hAnsi="Arial"/>
                <w:sz w:val="18"/>
                <w:szCs w:val="18"/>
                <w:color w:val="0000FF"/>
              </w:rPr>
              <w:t>06/15/2016</w:t>
            </w:r>
          </w:p>
        </w:tc>
        <w:tc>
          <w:tcPr>
            <w:tcW w:w="2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1,209</w:t>
            </w:r>
            <w:r>
              <w:rPr>
                <w:rFonts w:ascii="Arial" w:cs="Arial" w:eastAsia="Arial" w:hAnsi="Arial"/>
                <w:sz w:val="22"/>
                <w:szCs w:val="22"/>
                <w:color w:val="008000"/>
                <w:vertAlign w:val="superscript"/>
              </w:rPr>
              <w:t>(2)</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1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48.485</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5,215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860" w:type="dxa"/>
            <w:vAlign w:val="bottom"/>
            <w:tcBorders>
              <w:top w:val="single" w:sz="8" w:color="2C2C2C"/>
            </w:tcBorders>
            <w:gridSpan w:val="17"/>
          </w:tcPr>
          <w:p>
            <w:pPr>
              <w:ind w:left="40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20" w:type="dxa"/>
            <w:vAlign w:val="bottom"/>
            <w:gridSpan w:val="15"/>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jc w:val="right"/>
              <w:ind w:right="313"/>
              <w:spacing w:after="0"/>
              <w:rPr>
                <w:sz w:val="20"/>
                <w:szCs w:val="20"/>
                <w:color w:val="auto"/>
              </w:rPr>
            </w:pPr>
            <w:r>
              <w:rPr>
                <w:rFonts w:ascii="Arial" w:cs="Arial" w:eastAsia="Arial" w:hAnsi="Arial"/>
                <w:sz w:val="11"/>
                <w:szCs w:val="11"/>
                <w:color w:val="008000"/>
              </w:rPr>
              <w:t>(3)</w:t>
            </w:r>
          </w:p>
        </w:tc>
        <w:tc>
          <w:tcPr>
            <w:tcW w:w="640" w:type="dxa"/>
            <w:vAlign w:val="bottom"/>
            <w:vMerge w:val="restart"/>
          </w:tcPr>
          <w:p>
            <w:pPr>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1,209</w:t>
            </w:r>
          </w:p>
        </w:tc>
        <w:tc>
          <w:tcPr>
            <w:tcW w:w="200" w:type="dxa"/>
            <w:vAlign w:val="bottom"/>
          </w:tcPr>
          <w:p>
            <w:pPr>
              <w:spacing w:after="0"/>
              <w:rPr>
                <w:sz w:val="16"/>
                <w:szCs w:val="16"/>
                <w:color w:val="auto"/>
              </w:rPr>
            </w:pPr>
          </w:p>
        </w:tc>
        <w:tc>
          <w:tcPr>
            <w:tcW w:w="600" w:type="dxa"/>
            <w:vAlign w:val="bottom"/>
            <w:vMerge w:val="restart"/>
          </w:tcPr>
          <w:p>
            <w:pPr>
              <w:ind w:left="100"/>
              <w:spacing w:after="0"/>
              <w:rPr>
                <w:sz w:val="20"/>
                <w:szCs w:val="20"/>
                <w:color w:val="auto"/>
              </w:rPr>
            </w:pP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right"/>
              <w:ind w:right="112"/>
              <w:spacing w:after="0" w:line="133" w:lineRule="exact"/>
              <w:rPr>
                <w:sz w:val="20"/>
                <w:szCs w:val="20"/>
                <w:color w:val="auto"/>
              </w:rPr>
            </w:pPr>
            <w:r>
              <w:rPr>
                <w:rFonts w:ascii="Arial" w:cs="Arial" w:eastAsia="Arial" w:hAnsi="Arial"/>
                <w:sz w:val="14"/>
                <w:szCs w:val="14"/>
                <w:color w:val="0000FF"/>
              </w:rPr>
              <w:t>06/15/2016</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3"/>
          </w:tcPr>
          <w:p>
            <w:pPr>
              <w:ind w:left="80"/>
              <w:spacing w:after="0" w:line="133"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11"/>
                <w:szCs w:val="11"/>
                <w:color w:val="auto"/>
              </w:rPr>
            </w:pPr>
          </w:p>
        </w:tc>
        <w:tc>
          <w:tcPr>
            <w:tcW w:w="720" w:type="dxa"/>
            <w:vAlign w:val="bottom"/>
          </w:tcPr>
          <w:p>
            <w:pPr>
              <w:ind w:left="400"/>
              <w:spacing w:after="0" w:line="133" w:lineRule="exact"/>
              <w:rPr>
                <w:sz w:val="20"/>
                <w:szCs w:val="20"/>
                <w:color w:val="auto"/>
              </w:rPr>
            </w:pPr>
            <w:r>
              <w:rPr>
                <w:rFonts w:ascii="Arial" w:cs="Arial" w:eastAsia="Arial" w:hAnsi="Arial"/>
                <w:sz w:val="14"/>
                <w:szCs w:val="14"/>
                <w:color w:val="0000FF"/>
                <w:w w:val="85"/>
              </w:rPr>
              <w:t>1,209</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ind w:left="380"/>
              <w:spacing w:after="0" w:line="133"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ind w:left="100"/>
              <w:spacing w:after="0" w:line="149" w:lineRule="exact"/>
              <w:rPr>
                <w:sz w:val="20"/>
                <w:szCs w:val="20"/>
                <w:color w:val="auto"/>
              </w:rPr>
            </w:pPr>
            <w:r>
              <w:rPr>
                <w:rFonts w:ascii="Arial" w:cs="Arial" w:eastAsia="Arial" w:hAnsi="Arial"/>
                <w:sz w:val="14"/>
                <w:szCs w:val="14"/>
                <w:color w:val="0000FF"/>
              </w:rPr>
              <w:t>Stock</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8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Restricted stock units ("RSUs") vested on June 15, 2016. The referenced RSUs are being settled in cash based on the closing price of the ordinary shares of LivaNova PLC (the "Company") on June 14, 2016. The Company is settling the RSUs in cash because it does not currently have ordinary shares available to settle the RSUs pursuant to their terms.</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disposed of to the Company to cover applicable taxes and to cash cover the remainder shares.</w:t>
      </w:r>
    </w:p>
    <w:p>
      <w:pPr>
        <w:spacing w:after="0" w:line="41" w:lineRule="exact"/>
        <w:rPr>
          <w:rFonts w:ascii="Arial" w:cs="Arial" w:eastAsia="Arial" w:hAnsi="Arial"/>
          <w:sz w:val="14"/>
          <w:szCs w:val="14"/>
          <w:color w:val="008000"/>
        </w:rPr>
      </w:pPr>
    </w:p>
    <w:p>
      <w:pPr>
        <w:ind w:left="40" w:right="26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October 19, 2015, reporting person was granted 1,209 RSUs which vest on the date of the next Annual General Meeting of the Company. Each RSU represents a contingent right to receive one ordinary share of the Company in accordance with the terms of the LivaNova PLC 2015 Incentive Award Plan. All of such RSUs vested and all restrictions thereon lapsed on June 15, 2016.</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/s/ Hugh M. Morrison</w:t>
            </w: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06/16/2016</w:t>
            </w:r>
          </w:p>
        </w:tc>
      </w:tr>
      <w:tr>
        <w:trPr>
          <w:trHeight w:val="20"/>
        </w:trPr>
        <w:tc>
          <w:tcPr>
            <w:tcW w:w="1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33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2019-12-23T21:43:55Z</dcterms:created>
  <dcterms:modified xsi:type="dcterms:W3CDTF">2019-12-23T21:43:55Z</dcterms:modified>
</cp:coreProperties>
</file>