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581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58178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38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McDonald Damien</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03/30/2020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9"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500" w:type="dxa"/>
            <w:vAlign w:val="bottom"/>
          </w:tcPr>
          <w:p>
            <w:pPr>
              <w:ind w:left="1000"/>
              <w:spacing w:after="0"/>
              <w:rPr>
                <w:sz w:val="20"/>
                <w:szCs w:val="20"/>
                <w:color w:val="auto"/>
              </w:rPr>
            </w:pPr>
            <w:r>
              <w:rPr>
                <w:rFonts w:ascii="Arial" w:cs="Arial" w:eastAsia="Arial" w:hAnsi="Arial"/>
                <w:sz w:val="16"/>
                <w:szCs w:val="16"/>
                <w:color w:val="0000FF"/>
              </w:rPr>
              <w:t>CEO</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1" w:lineRule="exact"/>
        <w:rPr>
          <w:sz w:val="24"/>
          <w:szCs w:val="24"/>
          <w:color w:val="auto"/>
        </w:rPr>
      </w:pPr>
    </w:p>
    <w:p>
      <w:pPr>
        <w:sectPr>
          <w:pgSz w:w="11900" w:h="16838" w:orient="portrait"/>
          <w:cols w:equalWidth="0" w:num="3">
            <w:col w:w="3180" w:space="720"/>
            <w:col w:w="3121" w:space="720"/>
            <w:col w:w="3339"/>
          </w:cols>
          <w:pgMar w:left="460" w:top="219" w:right="359" w:bottom="382"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20" w:type="dxa"/>
            <w:vAlign w:val="bottom"/>
          </w:tcPr>
          <w:p>
            <w:pPr>
              <w:ind w:left="420"/>
              <w:spacing w:after="0"/>
              <w:rPr>
                <w:sz w:val="20"/>
                <w:szCs w:val="20"/>
                <w:color w:val="auto"/>
              </w:rPr>
            </w:pPr>
            <w:r>
              <w:rPr>
                <w:rFonts w:ascii="Arial" w:cs="Arial" w:eastAsia="Arial" w:hAnsi="Arial"/>
                <w:sz w:val="16"/>
                <w:szCs w:val="16"/>
                <w:color w:val="0000FF"/>
              </w:rPr>
              <w:t>W2 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4" w:lineRule="auto"/>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146685</wp:posOffset>
            </wp:positionV>
            <wp:extent cx="6971030" cy="127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1276985"/>
                    </a:xfrm>
                    <a:prstGeom prst="rect">
                      <a:avLst/>
                    </a:prstGeom>
                    <a:noFill/>
                  </pic:spPr>
                </pic:pic>
              </a:graphicData>
            </a:graphic>
          </wp:anchor>
        </w:drawing>
      </w:r>
    </w:p>
    <w:p>
      <w:pPr>
        <w:spacing w:after="0" w:line="289" w:lineRule="exact"/>
        <w:rPr>
          <w:sz w:val="24"/>
          <w:szCs w:val="24"/>
          <w:color w:val="auto"/>
        </w:rPr>
      </w:pPr>
    </w:p>
    <w:p>
      <w:pPr>
        <w:sectPr>
          <w:pgSz w:w="11900" w:h="16838" w:orient="portrait"/>
          <w:cols w:equalWidth="0" w:num="2">
            <w:col w:w="3760" w:space="140"/>
            <w:col w:w="7180"/>
          </w:cols>
          <w:pgMar w:left="460" w:top="219" w:right="359" w:bottom="382"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ind w:left="76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4"/>
              <w:spacing w:after="0"/>
              <w:rPr>
                <w:sz w:val="20"/>
                <w:szCs w:val="20"/>
                <w:color w:val="auto"/>
              </w:rPr>
            </w:pPr>
            <w:r>
              <w:rPr>
                <w:rFonts w:ascii="Arial" w:cs="Arial" w:eastAsia="Arial" w:hAnsi="Arial"/>
                <w:sz w:val="16"/>
                <w:szCs w:val="16"/>
                <w:color w:val="0000FF"/>
                <w:w w:val="92"/>
              </w:rPr>
              <w:t>03/30/2020</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ind w:right="41"/>
              <w:spacing w:after="0"/>
              <w:rPr>
                <w:sz w:val="20"/>
                <w:szCs w:val="20"/>
                <w:color w:val="auto"/>
              </w:rPr>
            </w:pPr>
            <w:r>
              <w:rPr>
                <w:rFonts w:ascii="Arial" w:cs="Arial" w:eastAsia="Arial" w:hAnsi="Arial"/>
                <w:sz w:val="16"/>
                <w:szCs w:val="16"/>
                <w:color w:val="0000FF"/>
              </w:rPr>
              <w:t>3,214</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ind w:right="12"/>
              <w:spacing w:after="0" w:line="303"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32"/>
                <w:szCs w:val="32"/>
                <w:color w:val="0000FF"/>
                <w:vertAlign w:val="subscript"/>
              </w:rPr>
              <w:t>0</w:t>
            </w:r>
            <w:r>
              <w:rPr>
                <w:rFonts w:ascii="Arial" w:cs="Arial" w:eastAsia="Arial" w:hAnsi="Arial"/>
                <w:sz w:val="11"/>
                <w:szCs w:val="11"/>
                <w:color w:val="008000"/>
              </w:rPr>
              <w:t>(1)</w:t>
            </w:r>
          </w:p>
        </w:tc>
        <w:tc>
          <w:tcPr>
            <w:tcW w:w="128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6"/>
                <w:szCs w:val="16"/>
                <w:color w:val="0000FF"/>
              </w:rPr>
              <w:t>74,992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4"/>
              <w:spacing w:after="0"/>
              <w:rPr>
                <w:sz w:val="20"/>
                <w:szCs w:val="20"/>
                <w:color w:val="auto"/>
              </w:rPr>
            </w:pPr>
            <w:r>
              <w:rPr>
                <w:rFonts w:ascii="Arial" w:cs="Arial" w:eastAsia="Arial" w:hAnsi="Arial"/>
                <w:sz w:val="16"/>
                <w:szCs w:val="16"/>
                <w:color w:val="0000FF"/>
                <w:w w:val="92"/>
              </w:rPr>
              <w:t>03/30/2020</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1,511</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color w:val="0000FF"/>
                <w:w w:val="98"/>
              </w:rPr>
              <w:t>45.75</w:t>
            </w:r>
          </w:p>
        </w:tc>
        <w:tc>
          <w:tcPr>
            <w:tcW w:w="128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6"/>
                <w:szCs w:val="16"/>
                <w:color w:val="0000FF"/>
              </w:rPr>
              <w:t>73,481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0"/>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60" w:type="dxa"/>
            <w:vAlign w:val="bottom"/>
            <w:gridSpan w:val="8"/>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6"/>
              </w:rPr>
              <w:t>03/30/2020</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Arial" w:cs="Arial" w:eastAsia="Arial" w:hAnsi="Arial"/>
                <w:sz w:val="13"/>
                <w:szCs w:val="13"/>
                <w:color w:val="0000FF"/>
              </w:rPr>
              <w:t>3,214</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w w:val="89"/>
              </w:rPr>
              <w:t>3,214</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111,306</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ind w:left="320"/>
              <w:spacing w:after="0"/>
              <w:rPr>
                <w:sz w:val="20"/>
                <w:szCs w:val="20"/>
                <w:color w:val="auto"/>
              </w:rPr>
            </w:pPr>
            <w:r>
              <w:rPr>
                <w:rFonts w:ascii="Arial" w:cs="Arial" w:eastAsia="Arial" w:hAnsi="Arial"/>
                <w:sz w:val="11"/>
                <w:szCs w:val="11"/>
                <w:color w:val="008000"/>
              </w:rPr>
              <w:t>(3)</w:t>
            </w:r>
          </w:p>
        </w:tc>
        <w:tc>
          <w:tcPr>
            <w:tcW w:w="1020" w:type="dxa"/>
            <w:vAlign w:val="bottom"/>
          </w:tcPr>
          <w:p>
            <w:pPr>
              <w:jc w:val="center"/>
              <w:spacing w:after="0"/>
              <w:rPr>
                <w:sz w:val="20"/>
                <w:szCs w:val="20"/>
                <w:color w:val="auto"/>
              </w:rPr>
            </w:pPr>
            <w:r>
              <w:rPr>
                <w:rFonts w:ascii="Arial" w:cs="Arial" w:eastAsia="Arial" w:hAnsi="Arial"/>
                <w:sz w:val="13"/>
                <w:szCs w:val="13"/>
                <w:color w:val="0000FF"/>
                <w:w w:val="86"/>
              </w:rPr>
              <w:t>03/30/2020</w:t>
            </w:r>
          </w:p>
        </w:tc>
        <w:tc>
          <w:tcPr>
            <w:tcW w:w="112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34,427</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tcPr>
          <w:p>
            <w:pPr>
              <w:jc w:val="center"/>
              <w:ind w:right="12"/>
              <w:spacing w:after="0"/>
              <w:rPr>
                <w:sz w:val="20"/>
                <w:szCs w:val="20"/>
                <w:color w:val="auto"/>
              </w:rPr>
            </w:pPr>
            <w:r>
              <w:rPr>
                <w:rFonts w:ascii="Arial" w:cs="Arial" w:eastAsia="Arial" w:hAnsi="Arial"/>
                <w:sz w:val="16"/>
                <w:szCs w:val="16"/>
                <w:color w:val="0000FF"/>
                <w:w w:val="89"/>
              </w:rPr>
              <w:t>34,427</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145,733</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ind w:left="320"/>
              <w:spacing w:after="0"/>
              <w:rPr>
                <w:sz w:val="20"/>
                <w:szCs w:val="20"/>
                <w:color w:val="auto"/>
              </w:rPr>
            </w:pPr>
            <w:r>
              <w:rPr>
                <w:rFonts w:ascii="Arial" w:cs="Arial" w:eastAsia="Arial" w:hAnsi="Arial"/>
                <w:sz w:val="11"/>
                <w:szCs w:val="11"/>
                <w:color w:val="008000"/>
              </w:rPr>
              <w:t>(6)</w:t>
            </w:r>
          </w:p>
        </w:tc>
        <w:tc>
          <w:tcPr>
            <w:tcW w:w="1020" w:type="dxa"/>
            <w:vAlign w:val="bottom"/>
          </w:tcPr>
          <w:p>
            <w:pPr>
              <w:jc w:val="center"/>
              <w:spacing w:after="0"/>
              <w:rPr>
                <w:sz w:val="20"/>
                <w:szCs w:val="20"/>
                <w:color w:val="auto"/>
              </w:rPr>
            </w:pPr>
            <w:r>
              <w:rPr>
                <w:rFonts w:ascii="Arial" w:cs="Arial" w:eastAsia="Arial" w:hAnsi="Arial"/>
                <w:sz w:val="13"/>
                <w:szCs w:val="13"/>
                <w:color w:val="0000FF"/>
                <w:w w:val="86"/>
              </w:rPr>
              <w:t>03/30/2020</w:t>
            </w:r>
          </w:p>
        </w:tc>
        <w:tc>
          <w:tcPr>
            <w:tcW w:w="112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34,427</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tcPr>
          <w:p>
            <w:pPr>
              <w:jc w:val="center"/>
              <w:ind w:right="12"/>
              <w:spacing w:after="0"/>
              <w:rPr>
                <w:sz w:val="20"/>
                <w:szCs w:val="20"/>
                <w:color w:val="auto"/>
              </w:rPr>
            </w:pPr>
            <w:r>
              <w:rPr>
                <w:rFonts w:ascii="Arial" w:cs="Arial" w:eastAsia="Arial" w:hAnsi="Arial"/>
                <w:sz w:val="16"/>
                <w:szCs w:val="16"/>
                <w:color w:val="0000FF"/>
                <w:w w:val="89"/>
              </w:rPr>
              <w:t>34,427</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180,160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ind w:left="320"/>
              <w:spacing w:after="0"/>
              <w:rPr>
                <w:sz w:val="20"/>
                <w:szCs w:val="20"/>
                <w:color w:val="auto"/>
              </w:rPr>
            </w:pPr>
            <w:r>
              <w:rPr>
                <w:rFonts w:ascii="Arial" w:cs="Arial" w:eastAsia="Arial" w:hAnsi="Arial"/>
                <w:sz w:val="11"/>
                <w:szCs w:val="11"/>
                <w:color w:val="008000"/>
              </w:rPr>
              <w:t>(6)</w:t>
            </w:r>
          </w:p>
        </w:tc>
        <w:tc>
          <w:tcPr>
            <w:tcW w:w="1020" w:type="dxa"/>
            <w:vAlign w:val="bottom"/>
          </w:tcPr>
          <w:p>
            <w:pPr>
              <w:jc w:val="center"/>
              <w:spacing w:after="0"/>
              <w:rPr>
                <w:sz w:val="20"/>
                <w:szCs w:val="20"/>
                <w:color w:val="auto"/>
              </w:rPr>
            </w:pPr>
            <w:r>
              <w:rPr>
                <w:rFonts w:ascii="Arial" w:cs="Arial" w:eastAsia="Arial" w:hAnsi="Arial"/>
                <w:sz w:val="13"/>
                <w:szCs w:val="13"/>
                <w:color w:val="0000FF"/>
                <w:w w:val="86"/>
              </w:rPr>
              <w:t>03/30/2020</w:t>
            </w:r>
          </w:p>
        </w:tc>
        <w:tc>
          <w:tcPr>
            <w:tcW w:w="112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34,427</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tcPr>
          <w:p>
            <w:pPr>
              <w:jc w:val="center"/>
              <w:ind w:right="12"/>
              <w:spacing w:after="0"/>
              <w:rPr>
                <w:sz w:val="20"/>
                <w:szCs w:val="20"/>
                <w:color w:val="auto"/>
              </w:rPr>
            </w:pPr>
            <w:r>
              <w:rPr>
                <w:rFonts w:ascii="Arial" w:cs="Arial" w:eastAsia="Arial" w:hAnsi="Arial"/>
                <w:sz w:val="16"/>
                <w:szCs w:val="16"/>
                <w:color w:val="0000FF"/>
                <w:w w:val="89"/>
              </w:rPr>
              <w:t>34,427</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214,587</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(9)</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w w:val="89"/>
              </w:rPr>
              <w:t>78,517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w w:val="96"/>
              </w:rPr>
              <w:t>Appreciation</w:t>
            </w:r>
          </w:p>
        </w:tc>
        <w:tc>
          <w:tcPr>
            <w:tcW w:w="760" w:type="dxa"/>
            <w:vAlign w:val="bottom"/>
            <w:vMerge w:val="continue"/>
          </w:tcPr>
          <w:p>
            <w:pPr>
              <w:spacing w:after="0"/>
              <w:rPr>
                <w:sz w:val="10"/>
                <w:szCs w:val="10"/>
                <w:color w:val="auto"/>
              </w:rPr>
            </w:pPr>
          </w:p>
        </w:tc>
        <w:tc>
          <w:tcPr>
            <w:tcW w:w="1020" w:type="dxa"/>
            <w:vAlign w:val="bottom"/>
          </w:tcPr>
          <w:p>
            <w:pPr>
              <w:jc w:val="center"/>
              <w:spacing w:after="0" w:line="123" w:lineRule="exact"/>
              <w:rPr>
                <w:sz w:val="20"/>
                <w:szCs w:val="20"/>
                <w:color w:val="auto"/>
              </w:rPr>
            </w:pPr>
            <w:r>
              <w:rPr>
                <w:rFonts w:ascii="Arial" w:cs="Arial" w:eastAsia="Arial" w:hAnsi="Arial"/>
                <w:sz w:val="13"/>
                <w:szCs w:val="13"/>
                <w:color w:val="0000FF"/>
                <w:w w:val="86"/>
              </w:rPr>
              <w:t>03/30/2020</w:t>
            </w:r>
          </w:p>
        </w:tc>
        <w:tc>
          <w:tcPr>
            <w:tcW w:w="1120" w:type="dxa"/>
            <w:vAlign w:val="bottom"/>
          </w:tcPr>
          <w:p>
            <w:pPr>
              <w:spacing w:after="0"/>
              <w:rPr>
                <w:sz w:val="10"/>
                <w:szCs w:val="10"/>
                <w:color w:val="auto"/>
              </w:rPr>
            </w:pPr>
          </w:p>
        </w:tc>
        <w:tc>
          <w:tcPr>
            <w:tcW w:w="70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0000FF"/>
              </w:rPr>
              <w:t>78,517</w:t>
            </w:r>
          </w:p>
        </w:tc>
        <w:tc>
          <w:tcPr>
            <w:tcW w:w="4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ind w:left="200"/>
              <w:spacing w:after="0" w:line="123" w:lineRule="exact"/>
              <w:rPr>
                <w:sz w:val="20"/>
                <w:szCs w:val="20"/>
                <w:color w:val="auto"/>
              </w:rPr>
            </w:pPr>
            <w:r>
              <w:rPr>
                <w:rFonts w:ascii="Arial" w:cs="Arial" w:eastAsia="Arial" w:hAnsi="Arial"/>
                <w:sz w:val="13"/>
                <w:szCs w:val="13"/>
                <w:color w:val="0000FF"/>
              </w:rPr>
              <w:t>290,056</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20"/>
              <w:spacing w:after="0" w:line="139"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-2794000</wp:posOffset>
            </wp:positionV>
            <wp:extent cx="7035165" cy="2834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83464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0" w:lineRule="exact"/>
        <w:rPr>
          <w:rFonts w:ascii="Arial" w:cs="Arial" w:eastAsia="Arial" w:hAnsi="Arial"/>
          <w:sz w:val="13"/>
          <w:szCs w:val="13"/>
          <w:color w:val="008000"/>
        </w:rPr>
      </w:pPr>
    </w:p>
    <w:p>
      <w:pPr>
        <w:ind w:left="40" w:right="16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8" w:lineRule="exact"/>
        <w:rPr>
          <w:rFonts w:ascii="Arial" w:cs="Arial" w:eastAsia="Arial" w:hAnsi="Arial"/>
          <w:sz w:val="13"/>
          <w:szCs w:val="13"/>
          <w:color w:val="008000"/>
        </w:rPr>
      </w:pPr>
    </w:p>
    <w:p>
      <w:pPr>
        <w:ind w:left="40" w:right="34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2019, subject to continued service during the vesting period and the award agreement.</w:t>
      </w:r>
    </w:p>
    <w:p>
      <w:pPr>
        <w:spacing w:after="0" w:line="28" w:lineRule="exact"/>
        <w:rPr>
          <w:rFonts w:ascii="Arial" w:cs="Arial" w:eastAsia="Arial" w:hAnsi="Arial"/>
          <w:sz w:val="13"/>
          <w:szCs w:val="13"/>
          <w:color w:val="008000"/>
        </w:rPr>
      </w:pPr>
    </w:p>
    <w:p>
      <w:pPr>
        <w:ind w:left="40" w:right="34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2020, subject to continued service during the vesting period and the award agreement.</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0" w:lineRule="exact"/>
        <w:rPr>
          <w:rFonts w:ascii="Arial" w:cs="Arial" w:eastAsia="Arial" w:hAnsi="Arial"/>
          <w:sz w:val="13"/>
          <w:szCs w:val="13"/>
          <w:color w:val="008000"/>
        </w:rPr>
      </w:pPr>
    </w:p>
    <w:p>
      <w:pPr>
        <w:ind w:left="40" w:right="180" w:hanging="1"/>
        <w:spacing w:after="0" w:line="23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34,427 PSUs to vest or lapse on the filing of the Company's Annual Report on Form 10-K for the fiscal year ending December 31, 2022 ("2022 Form 10-K") based on the rank of the Company's total shareholder return for the three-year period ending December 31, 2022 relative to the total shareholder return of a peer group of companies, as determined by the Plan Administrator. The form of agreement for this award was filed with the Securities and Exchange Commission in a Current Report on Form 8-K on April 1, 2019. The number included in column 5 of Table II reflects the target number of PSUs eligible for vesting.</w:t>
      </w:r>
    </w:p>
    <w:p>
      <w:pPr>
        <w:spacing w:after="0" w:line="31" w:lineRule="exact"/>
        <w:rPr>
          <w:rFonts w:ascii="Arial" w:cs="Arial" w:eastAsia="Arial" w:hAnsi="Arial"/>
          <w:sz w:val="13"/>
          <w:szCs w:val="13"/>
          <w:color w:val="008000"/>
        </w:rPr>
      </w:pPr>
    </w:p>
    <w:p>
      <w:pPr>
        <w:ind w:left="40" w:right="24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34,427 PSUs to vest or lapse on the filing of the Company's 2022 Form 10-K for the fiscal year ending December 31, 2022 based on how the Company's cumulative adjusted free cash flow for fiscal years 2020, 2021 and 2022 compares to a target determined by the Plan Administrator. The form of agreement for this award was filed with the Securities and Exchange Commission on April 1, 2019. The number included in column 5 of Table II reflects the target number of PSUs eligible for vesting.</w:t>
      </w:r>
    </w:p>
    <w:p>
      <w:pPr>
        <w:spacing w:after="0" w:line="3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$43.57 Conversion or Exercise Price of Derivative Security.</w:t>
      </w:r>
    </w:p>
    <w:p>
      <w:pPr>
        <w:spacing w:after="0" w:line="40" w:lineRule="exact"/>
        <w:rPr>
          <w:rFonts w:ascii="Arial" w:cs="Arial" w:eastAsia="Arial" w:hAnsi="Arial"/>
          <w:sz w:val="13"/>
          <w:szCs w:val="13"/>
          <w:color w:val="008000"/>
        </w:rPr>
      </w:pPr>
    </w:p>
    <w:p>
      <w:pPr>
        <w:ind w:left="40" w:right="280" w:hanging="1"/>
        <w:spacing w:after="0" w:line="241" w:lineRule="auto"/>
        <w:tabs>
          <w:tab w:leader="none" w:pos="2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30, 2020.</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Arial" w:cs="Arial" w:eastAsia="Arial" w:hAnsi="Arial"/>
                <w:sz w:val="16"/>
                <w:szCs w:val="16"/>
                <w:color w:val="0000FF"/>
                <w:w w:val="93"/>
              </w:rPr>
              <w:t>/s/ Sarah K. Mohr, POA</w:t>
            </w:r>
          </w:p>
        </w:tc>
        <w:tc>
          <w:tcPr>
            <w:tcW w:w="42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04/01/2020</w:t>
            </w:r>
          </w:p>
        </w:tc>
      </w:tr>
      <w:tr>
        <w:trPr>
          <w:trHeight w:val="20"/>
        </w:trPr>
        <w:tc>
          <w:tcPr>
            <w:tcW w:w="1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86894"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2020-04-01T19:28:30Z</dcterms:created>
  <dcterms:modified xsi:type="dcterms:W3CDTF">2020-04-01T19:28:30Z</dcterms:modified>
</cp:coreProperties>
</file>