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311785</wp:posOffset>
            </wp:positionH>
            <wp:positionV relativeFrom="page">
              <wp:posOffset>981075</wp:posOffset>
            </wp:positionV>
            <wp:extent cx="281305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305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March 2, 2020</w:t>
      </w:r>
    </w:p>
    <w:p>
      <w:pPr>
        <w:spacing w:after="0" w:line="260" w:lineRule="exact"/>
        <w:rPr>
          <w:sz w:val="24"/>
          <w:szCs w:val="24"/>
          <w:color w:val="auto"/>
        </w:rPr>
      </w:pPr>
    </w:p>
    <w:p>
      <w:pPr>
        <w:spacing w:after="0" w:line="263"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Exchange Act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4"/>
          <w:szCs w:val="24"/>
          <w:color w:val="auto"/>
        </w:rPr>
      </w:pPr>
    </w:p>
    <w:p>
      <w:pPr>
        <w:ind w:right="100"/>
        <w:spacing w:after="0" w:line="302" w:lineRule="auto"/>
        <w:rPr>
          <w:sz w:val="20"/>
          <w:szCs w:val="20"/>
          <w:color w:val="auto"/>
        </w:rPr>
      </w:pPr>
      <w:r>
        <w:rPr>
          <w:rFonts w:ascii="Arial" w:cs="Arial" w:eastAsia="Arial" w:hAnsi="Arial"/>
          <w:sz w:val="19"/>
          <w:szCs w:val="19"/>
          <w:color w:val="auto"/>
        </w:rPr>
        <w:t xml:space="preserve">Pursuant to Section 219 of the Iran Threat Reduction and Syria Human Rights Act of 2012 and Section 13(r) of the Exchange Act, as amended, notice is hereby provided that LivaNova PLC has made disclosure pursuant to those provisions in its Annual Report on Form 10-K for the year ended December 31, 2019, which was filed with the Securities and Exchange Commission on March 2, 2020. The disclosure can be found within Item 1. </w:t>
      </w:r>
      <w:r>
        <w:rPr>
          <w:rFonts w:ascii="Arial" w:cs="Arial" w:eastAsia="Arial" w:hAnsi="Arial"/>
          <w:sz w:val="19"/>
          <w:szCs w:val="19"/>
          <w:i w:val="1"/>
          <w:iCs w:val="1"/>
          <w:color w:val="auto"/>
        </w:rPr>
        <w:t>Business</w:t>
      </w:r>
      <w:r>
        <w:rPr>
          <w:rFonts w:ascii="Arial" w:cs="Arial" w:eastAsia="Arial" w:hAnsi="Arial"/>
          <w:sz w:val="19"/>
          <w:szCs w:val="19"/>
          <w:color w:val="auto"/>
        </w:rPr>
        <w:t xml:space="preserve"> in the Annual Report on Form 10-K.</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209"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22"/>
          <w:szCs w:val="22"/>
          <w:color w:val="auto"/>
        </w:rPr>
        <w:t>By:</w:t>
        <w:tab/>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24765</wp:posOffset>
            </wp:positionV>
            <wp:extent cx="4279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38" w:lineRule="exact"/>
        <w:rPr>
          <w:sz w:val="24"/>
          <w:szCs w:val="24"/>
          <w:color w:val="auto"/>
        </w:rPr>
      </w:pPr>
    </w:p>
    <w:p>
      <w:pPr>
        <w:ind w:left="640"/>
        <w:spacing w:after="0"/>
        <w:rPr>
          <w:sz w:val="20"/>
          <w:szCs w:val="20"/>
          <w:color w:val="auto"/>
        </w:rPr>
      </w:pPr>
      <w:r>
        <w:rPr>
          <w:rFonts w:ascii="Arial" w:cs="Arial" w:eastAsia="Arial" w:hAnsi="Arial"/>
          <w:sz w:val="22"/>
          <w:szCs w:val="22"/>
          <w:color w:val="auto"/>
        </w:rPr>
        <w:t>Damien McDonald</w:t>
      </w:r>
    </w:p>
    <w:p>
      <w:pPr>
        <w:spacing w:after="0" w:line="44" w:lineRule="exact"/>
        <w:rPr>
          <w:sz w:val="24"/>
          <w:szCs w:val="24"/>
          <w:color w:val="auto"/>
        </w:rPr>
      </w:pPr>
    </w:p>
    <w:p>
      <w:pPr>
        <w:ind w:left="6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By:</w:t>
        <w:tab/>
        <w:t>/s/ Thad Huston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8" w:lineRule="exact"/>
        <w:rPr>
          <w:sz w:val="24"/>
          <w:szCs w:val="24"/>
          <w:color w:val="auto"/>
        </w:rPr>
      </w:pPr>
    </w:p>
    <w:p>
      <w:pPr>
        <w:ind w:left="600"/>
        <w:spacing w:after="0"/>
        <w:rPr>
          <w:sz w:val="20"/>
          <w:szCs w:val="20"/>
          <w:color w:val="auto"/>
        </w:rPr>
      </w:pPr>
      <w:r>
        <w:rPr>
          <w:rFonts w:ascii="Arial" w:cs="Arial" w:eastAsia="Arial" w:hAnsi="Arial"/>
          <w:sz w:val="22"/>
          <w:szCs w:val="22"/>
          <w:color w:val="auto"/>
        </w:rPr>
        <w:t>Thad Huston</w:t>
      </w:r>
    </w:p>
    <w:p>
      <w:pPr>
        <w:spacing w:after="0" w:line="44" w:lineRule="exact"/>
        <w:rPr>
          <w:sz w:val="24"/>
          <w:szCs w:val="24"/>
          <w:color w:val="auto"/>
        </w:rPr>
      </w:pPr>
    </w:p>
    <w:p>
      <w:pPr>
        <w:ind w:left="60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2020-03-02T13:09:55Z</dcterms:created>
  <dcterms:modified xsi:type="dcterms:W3CDTF">2020-03-02T13:09:55Z</dcterms:modified>
</cp:coreProperties>
</file>