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135890</wp:posOffset>
            </wp:positionV>
            <wp:extent cx="1158875" cy="363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8875"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LivaNova PLC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9" w:lineRule="exact"/>
        <w:rPr>
          <w:sz w:val="24"/>
          <w:szCs w:val="24"/>
          <w:color w:val="auto"/>
        </w:rPr>
      </w:pPr>
    </w:p>
    <w:tbl>
      <w:tblPr>
        <w:tblLayout w:type="fixed"/>
        <w:tblInd w:w="1540" w:type="dxa"/>
        <w:tblCellMar>
          <w:top w:w="0" w:type="dxa"/>
          <w:left w:w="0" w:type="dxa"/>
          <w:bottom w:w="0" w:type="dxa"/>
          <w:right w:w="0" w:type="dxa"/>
        </w:tblCellMar>
      </w:tblPr>
      <w:tr>
        <w:trPr>
          <w:trHeight w:val="186"/>
        </w:trPr>
        <w:tc>
          <w:tcPr>
            <w:tcW w:w="2040" w:type="dxa"/>
            <w:vAlign w:val="bottom"/>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w w:val="99"/>
              </w:rPr>
              <w:t>England and Wales</w:t>
            </w:r>
          </w:p>
        </w:tc>
        <w:tc>
          <w:tcPr>
            <w:tcW w:w="42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001-37599</w:t>
            </w:r>
          </w:p>
        </w:tc>
        <w:tc>
          <w:tcPr>
            <w:tcW w:w="168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98-1268150</w:t>
            </w:r>
          </w:p>
        </w:tc>
      </w:tr>
      <w:tr>
        <w:trPr>
          <w:trHeight w:val="198"/>
        </w:trPr>
        <w:tc>
          <w:tcPr>
            <w:tcW w:w="204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42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(Commission</w:t>
            </w:r>
          </w:p>
        </w:tc>
        <w:tc>
          <w:tcPr>
            <w:tcW w:w="168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04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w w:val="99"/>
              </w:rPr>
              <w:t>of Incorporation)</w:t>
            </w:r>
          </w:p>
        </w:tc>
        <w:tc>
          <w:tcPr>
            <w:tcW w:w="424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File Number)</w:t>
            </w:r>
          </w:p>
        </w:tc>
        <w:tc>
          <w:tcPr>
            <w:tcW w:w="168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0"/>
        </w:trPr>
        <w:tc>
          <w:tcPr>
            <w:tcW w:w="2040" w:type="dxa"/>
            <w:vAlign w:val="bottom"/>
          </w:tcPr>
          <w:p>
            <w:pPr>
              <w:spacing w:after="0"/>
              <w:rPr>
                <w:sz w:val="24"/>
                <w:szCs w:val="24"/>
                <w:color w:val="auto"/>
              </w:rPr>
            </w:pPr>
          </w:p>
        </w:tc>
        <w:tc>
          <w:tcPr>
            <w:tcW w:w="42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 Eastbourne Terrace</w:t>
            </w:r>
          </w:p>
        </w:tc>
        <w:tc>
          <w:tcPr>
            <w:tcW w:w="1680" w:type="dxa"/>
            <w:vAlign w:val="bottom"/>
          </w:tcPr>
          <w:p>
            <w:pPr>
              <w:spacing w:after="0"/>
              <w:rPr>
                <w:sz w:val="24"/>
                <w:szCs w:val="24"/>
                <w:color w:val="auto"/>
              </w:rPr>
            </w:pPr>
          </w:p>
        </w:tc>
      </w:tr>
      <w:tr>
        <w:trPr>
          <w:trHeight w:val="170"/>
        </w:trPr>
        <w:tc>
          <w:tcPr>
            <w:tcW w:w="2040" w:type="dxa"/>
            <w:vAlign w:val="bottom"/>
          </w:tcPr>
          <w:p>
            <w:pPr>
              <w:spacing w:after="0"/>
              <w:rPr>
                <w:sz w:val="14"/>
                <w:szCs w:val="14"/>
                <w:color w:val="auto"/>
              </w:rPr>
            </w:pPr>
          </w:p>
        </w:tc>
        <w:tc>
          <w:tcPr>
            <w:tcW w:w="42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London, W2 6LG</w:t>
            </w:r>
          </w:p>
        </w:tc>
        <w:tc>
          <w:tcPr>
            <w:tcW w:w="168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42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United Kingdom</w:t>
            </w:r>
          </w:p>
        </w:tc>
        <w:tc>
          <w:tcPr>
            <w:tcW w:w="1680" w:type="dxa"/>
            <w:vAlign w:val="bottom"/>
          </w:tcPr>
          <w:p>
            <w:pPr>
              <w:spacing w:after="0"/>
              <w:rPr>
                <w:sz w:val="14"/>
                <w:szCs w:val="14"/>
                <w:color w:val="auto"/>
              </w:rPr>
            </w:pPr>
          </w:p>
        </w:tc>
      </w:tr>
      <w:tr>
        <w:trPr>
          <w:trHeight w:val="184"/>
        </w:trPr>
        <w:tc>
          <w:tcPr>
            <w:tcW w:w="2040" w:type="dxa"/>
            <w:vAlign w:val="bottom"/>
          </w:tcPr>
          <w:p>
            <w:pPr>
              <w:spacing w:after="0"/>
              <w:rPr>
                <w:sz w:val="16"/>
                <w:szCs w:val="16"/>
                <w:color w:val="auto"/>
              </w:rPr>
            </w:pPr>
          </w:p>
        </w:tc>
        <w:tc>
          <w:tcPr>
            <w:tcW w:w="42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80" w:type="dxa"/>
            <w:vAlign w:val="bottom"/>
          </w:tcPr>
          <w:p>
            <w:pPr>
              <w:spacing w:after="0"/>
              <w:rPr>
                <w:sz w:val="16"/>
                <w:szCs w:val="16"/>
                <w:color w:val="auto"/>
              </w:rPr>
            </w:pPr>
          </w:p>
        </w:tc>
      </w:tr>
      <w:tr>
        <w:trPr>
          <w:trHeight w:val="346"/>
        </w:trPr>
        <w:tc>
          <w:tcPr>
            <w:tcW w:w="2040" w:type="dxa"/>
            <w:vAlign w:val="bottom"/>
          </w:tcPr>
          <w:p>
            <w:pPr>
              <w:spacing w:after="0"/>
              <w:rPr>
                <w:sz w:val="24"/>
                <w:szCs w:val="24"/>
                <w:color w:val="auto"/>
              </w:rPr>
            </w:pPr>
          </w:p>
        </w:tc>
        <w:tc>
          <w:tcPr>
            <w:tcW w:w="42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+44 20 33250660</w:t>
            </w:r>
          </w:p>
        </w:tc>
        <w:tc>
          <w:tcPr>
            <w:tcW w:w="1680" w:type="dxa"/>
            <w:vAlign w:val="bottom"/>
          </w:tcPr>
          <w:p>
            <w:pPr>
              <w:spacing w:after="0"/>
              <w:rPr>
                <w:sz w:val="24"/>
                <w:szCs w:val="24"/>
                <w:color w:val="auto"/>
              </w:rPr>
            </w:pPr>
          </w:p>
        </w:tc>
      </w:tr>
      <w:tr>
        <w:trPr>
          <w:trHeight w:val="184"/>
        </w:trPr>
        <w:tc>
          <w:tcPr>
            <w:tcW w:w="2040" w:type="dxa"/>
            <w:vAlign w:val="bottom"/>
          </w:tcPr>
          <w:p>
            <w:pPr>
              <w:spacing w:after="0"/>
              <w:rPr>
                <w:sz w:val="16"/>
                <w:szCs w:val="16"/>
                <w:color w:val="auto"/>
              </w:rPr>
            </w:pPr>
          </w:p>
        </w:tc>
        <w:tc>
          <w:tcPr>
            <w:tcW w:w="42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680" w:type="dxa"/>
            <w:vAlign w:val="bottom"/>
          </w:tcPr>
          <w:p>
            <w:pPr>
              <w:spacing w:after="0"/>
              <w:rPr>
                <w:sz w:val="16"/>
                <w:szCs w:val="16"/>
                <w:color w:val="auto"/>
              </w:rPr>
            </w:pPr>
          </w:p>
        </w:tc>
      </w:tr>
    </w:tbl>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is intended to simultaneously satisfy the filing obligation of the registrant under any of the following provisions (see General Instructions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17"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6" w:lineRule="exact"/>
        <w:rPr>
          <w:rFonts w:ascii="MS PGothic" w:cs="MS PGothic" w:eastAsia="MS PGothic" w:hAnsi="MS PGothic"/>
          <w:sz w:val="17"/>
          <w:szCs w:val="17"/>
          <w:color w:val="auto"/>
        </w:rPr>
      </w:pPr>
    </w:p>
    <w:p>
      <w:pPr>
        <w:ind w:left="180" w:hanging="175"/>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16" w:lineRule="exact"/>
        <w:rPr>
          <w:rFonts w:ascii="MS PGothic" w:cs="MS PGothic" w:eastAsia="MS PGothic" w:hAnsi="MS PGothic"/>
          <w:sz w:val="17"/>
          <w:szCs w:val="17"/>
          <w:color w:val="auto"/>
        </w:rPr>
      </w:pPr>
    </w:p>
    <w:p>
      <w:pPr>
        <w:ind w:left="180" w:hanging="175"/>
        <w:spacing w:after="0"/>
        <w:tabs>
          <w:tab w:leader="none" w:pos="1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16" w:lineRule="exact"/>
        <w:rPr>
          <w:rFonts w:ascii="MS PGothic" w:cs="MS PGothic" w:eastAsia="MS PGothic" w:hAnsi="MS PGothic"/>
          <w:sz w:val="17"/>
          <w:szCs w:val="17"/>
          <w:color w:val="auto"/>
        </w:rPr>
      </w:pPr>
    </w:p>
    <w:p>
      <w:pPr>
        <w:ind w:right="4780" w:firstLine="5"/>
        <w:spacing w:after="0" w:line="402" w:lineRule="auto"/>
        <w:tabs>
          <w:tab w:leader="none" w:pos="18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2"/>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on each exchange on which registered</w:t>
            </w:r>
          </w:p>
        </w:tc>
      </w:tr>
      <w:tr>
        <w:trPr>
          <w:trHeight w:val="17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LIVN</w:t>
            </w:r>
          </w:p>
        </w:tc>
        <w:tc>
          <w:tcPr>
            <w:tcW w:w="4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5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7840"/>
        <w:spacing w:after="0" w:line="161" w:lineRule="exact"/>
        <w:tabs>
          <w:tab w:leader="none" w:pos="107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40"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 w:lineRule="exact"/>
        <w:rPr>
          <w:sz w:val="24"/>
          <w:szCs w:val="24"/>
          <w:color w:val="auto"/>
        </w:rPr>
      </w:pPr>
    </w:p>
    <w:p>
      <w:pPr>
        <w:ind w:left="1078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374650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LivaNova PLC (the “Company”) held its 2024 Annual General Meeting of shareholders (the “AGM”) on June 11, 2024. At the AGM, the Company’s shareholders approved Amendment No. 1 (the “A&amp;R 2022 Plan Amendment”) to the Amended and Restated LivaNova PLC 2022 Incentive Award Plan (the “A&amp;R 2022 Plan”) and Amendment No. 2 (the “2015 Plan Amendment”) to the LivaNova 2015 Incentive Award Plan (the “2015 Plan”). Both the A&amp;R 2022 Plan Amendment and the 2015 Plan Amendment were previously approved by the Company’s Board of Directors (the “Board”) on April 17, 2024, subject to shareholder approval.</w:t>
      </w:r>
    </w:p>
    <w:p>
      <w:pPr>
        <w:spacing w:after="0" w:line="16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The A&amp;R 2022 Plan Amendment increases the aggregate number of ordinary shares that can be issued under the A&amp;R 2022 Plan pursuant to options or SARs from 2,250,000 to 2,950,000 and the number of ordinary shares that can be issued pursuant to awards other than options or SARs from 1,500,000 to 2,000,000. The other terms of the A&amp;R 2022 Plan, including its expiration date,</w:t>
      </w:r>
    </w:p>
    <w:p>
      <w:pPr>
        <w:spacing w:after="0"/>
        <w:rPr>
          <w:sz w:val="20"/>
          <w:szCs w:val="20"/>
          <w:color w:val="auto"/>
        </w:rPr>
      </w:pPr>
      <w:r>
        <w:rPr>
          <w:rFonts w:ascii="Times New Roman" w:cs="Times New Roman" w:eastAsia="Times New Roman" w:hAnsi="Times New Roman"/>
          <w:sz w:val="14"/>
          <w:szCs w:val="14"/>
          <w:color w:val="auto"/>
        </w:rPr>
        <w:t>remain unchanged by the A&amp;R 2022 Plan Amendment</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4"/>
          <w:szCs w:val="14"/>
          <w:color w:val="auto"/>
        </w:rPr>
        <w:t>The 2015 Plan Amendment increases the aggregate number of shares that can be issued to non-employee directors under the 2015 Plan from 50,000 to 150,000 and extends the expiration date of the 2015 Plan to April 17th, 2034, corresponding to the 10th anniversary of the date the 2015 Plan Amendment was approved by the Board. The other terms of the 2015 Plan remain unchanged by the 2015 Plan Amendment.</w:t>
      </w:r>
    </w:p>
    <w:p>
      <w:pPr>
        <w:spacing w:after="0" w:line="157" w:lineRule="exact"/>
        <w:rPr>
          <w:sz w:val="20"/>
          <w:szCs w:val="20"/>
          <w:color w:val="auto"/>
        </w:rPr>
      </w:pPr>
    </w:p>
    <w:p>
      <w:pPr>
        <w:ind w:right="20" w:firstLine="509"/>
        <w:spacing w:after="0" w:line="245" w:lineRule="auto"/>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material terms of the A&amp;R 2022 Plan Amendment and the 2015 Plan Amendment are described in the Company’s definitive Proxy Statement, dated April 26, 2024 (the “2024 Proxy </w:t>
      </w:r>
      <w:hyperlink r:id="rId12">
        <w:r>
          <w:rPr>
            <w:rFonts w:ascii="Times New Roman" w:cs="Times New Roman" w:eastAsia="Times New Roman" w:hAnsi="Times New Roman"/>
            <w:sz w:val="14"/>
            <w:szCs w:val="14"/>
            <w:color w:val="auto"/>
          </w:rPr>
          <w:t>Statement”), under the heading “</w:t>
        </w:r>
        <w:r>
          <w:rPr>
            <w:rFonts w:ascii="Times New Roman" w:cs="Times New Roman" w:eastAsia="Times New Roman" w:hAnsi="Times New Roman"/>
            <w:sz w:val="14"/>
            <w:szCs w:val="14"/>
            <w:u w:val="single" w:color="auto"/>
            <w:color w:val="0000FF"/>
          </w:rPr>
          <w:t>Proposal 4 — Approval of Amendment No. 1 to the Amended and Restated LivaNova PLC 2022 Incentive Award Plan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0000FF"/>
          </w:rPr>
          <w:t>Proposal 5 — Approval of Amendment</w:t>
        </w:r>
      </w:hyperlink>
      <w:r>
        <w:rPr>
          <w:rFonts w:ascii="Times New Roman" w:cs="Times New Roman" w:eastAsia="Times New Roman" w:hAnsi="Times New Roman"/>
          <w:sz w:val="14"/>
          <w:szCs w:val="14"/>
          <w:color w:val="auto"/>
        </w:rPr>
        <w:t xml:space="preserve"> </w:t>
      </w:r>
      <w:hyperlink r:id="rId12">
        <w:r>
          <w:rPr>
            <w:rFonts w:ascii="Times New Roman" w:cs="Times New Roman" w:eastAsia="Times New Roman" w:hAnsi="Times New Roman"/>
            <w:sz w:val="14"/>
            <w:szCs w:val="14"/>
            <w:u w:val="single" w:color="auto"/>
            <w:color w:val="0000FF"/>
          </w:rPr>
          <w:t>No. 2 to the LivaNova PLC 2015 Incentive Award Plan</w:t>
        </w:r>
        <w:r>
          <w:rPr>
            <w:rFonts w:ascii="Times New Roman" w:cs="Times New Roman" w:eastAsia="Times New Roman" w:hAnsi="Times New Roman"/>
            <w:sz w:val="14"/>
            <w:szCs w:val="14"/>
            <w:color w:val="000000"/>
          </w:rPr>
          <w:t>”, which descriptions are incorporated herein by reference. The descriptions of the A&amp;R 2022 Plan Amendment and the 2015 Plan Amendment</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contained herein and in the 2024 Proxy Statement do not purport to be complete and are qualified in their entirety by reference to the A&amp;R 2022 Plan Amendment and the 2015 Plan Amendment, copies of which are filed respectively hereto as Exhibits 10.1 and 10.2 and are incorporated by reference herein.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5.07 Submission of Matters to a Vote of Security Holders</w:t>
      </w:r>
    </w:p>
    <w:p>
      <w:pPr>
        <w:spacing w:after="0" w:line="19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A total of 48,029,376 of the Company’s ordinary shares, representing approximately 88.70% of the shares outstanding and eligible to vote and constituting a quorum, were represented virtually or by proxy at the AGM.</w:t>
      </w:r>
    </w:p>
    <w:p>
      <w:pPr>
        <w:spacing w:after="0" w:line="146"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At the AGM, LivaNova’s shareholders considered 12 proposals as more fully described in the 2024 Proxy Statement, as supplemented on June 6, 2024 and as summarized below. Each of the resolutions 1-11 was adopted and a plurality of votes cast were voted in favor of holding future U.S. Say-on-Pay votes annually with respect to resolution 12. The number of votes for and against, as well as the number of abstentions and broker non-votes are set forth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Ordinary resolution to elect, by separate resolutions, each of the following nine (9) directors for a term expiring at the AGM to be held in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Mr. J. Christopher Barry</w:t>
            </w: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45,270,146</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132,277</w:t>
            </w:r>
          </w:p>
        </w:tc>
        <w:tc>
          <w:tcPr>
            <w:tcW w:w="120" w:type="dxa"/>
            <w:vAlign w:val="bottom"/>
            <w:vMerge w:val="continue"/>
          </w:tcPr>
          <w:p>
            <w:pPr>
              <w:spacing w:after="0"/>
              <w:rPr>
                <w:sz w:val="17"/>
                <w:szCs w:val="17"/>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20,407</w:t>
            </w:r>
          </w:p>
        </w:tc>
        <w:tc>
          <w:tcPr>
            <w:tcW w:w="100" w:type="dxa"/>
            <w:vAlign w:val="bottom"/>
            <w:vMerge w:val="continue"/>
          </w:tcPr>
          <w:p>
            <w:pPr>
              <w:spacing w:after="0"/>
              <w:rPr>
                <w:sz w:val="17"/>
                <w:szCs w:val="17"/>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r>
        <w:trPr>
          <w:trHeight w:val="424"/>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Mr. Francesco Bianchi</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44,852,064</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557,079</w:t>
            </w:r>
          </w:p>
        </w:tc>
        <w:tc>
          <w:tcPr>
            <w:tcW w:w="120" w:type="dxa"/>
            <w:vAlign w:val="bottom"/>
            <w:vMerge w:val="continue"/>
          </w:tcPr>
          <w:p>
            <w:pPr>
              <w:spacing w:after="0"/>
              <w:rPr>
                <w:sz w:val="17"/>
                <w:szCs w:val="17"/>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13,687</w:t>
            </w:r>
          </w:p>
        </w:tc>
        <w:tc>
          <w:tcPr>
            <w:tcW w:w="100" w:type="dxa"/>
            <w:vAlign w:val="bottom"/>
            <w:vMerge w:val="continue"/>
          </w:tcPr>
          <w:p>
            <w:pPr>
              <w:spacing w:after="0"/>
              <w:rPr>
                <w:sz w:val="17"/>
                <w:szCs w:val="17"/>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Ms. Stacy Enxing Seng</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44,760,431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5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648,537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5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13,862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2,606,546</w:t>
            </w:r>
          </w:p>
        </w:tc>
        <w:tc>
          <w:tcPr>
            <w:tcW w:w="0" w:type="dxa"/>
            <w:vAlign w:val="bottom"/>
          </w:tcPr>
          <w:p>
            <w:pPr>
              <w:spacing w:after="0"/>
              <w:rPr>
                <w:sz w:val="1"/>
                <w:szCs w:val="1"/>
                <w:color w:val="auto"/>
              </w:rPr>
            </w:pPr>
          </w:p>
        </w:tc>
      </w:tr>
      <w:tr>
        <w:trPr>
          <w:trHeight w:val="424"/>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Mr. William A. Kozy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45,120,873</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6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288,115</w:t>
            </w:r>
          </w:p>
        </w:tc>
        <w:tc>
          <w:tcPr>
            <w:tcW w:w="10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13,842</w:t>
            </w:r>
          </w:p>
        </w:tc>
        <w:tc>
          <w:tcPr>
            <w:tcW w:w="12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r>
        <w:trPr>
          <w:trHeight w:val="413"/>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Mr. Vladimir Makatsaria</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45,271,743</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6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137,260</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6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13,827</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r>
        <w:trPr>
          <w:trHeight w:val="424"/>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Dr. Sharon O'Kane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44,918,069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5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491,074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5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13,687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2,606,546</w:t>
            </w:r>
          </w:p>
        </w:tc>
        <w:tc>
          <w:tcPr>
            <w:tcW w:w="0" w:type="dxa"/>
            <w:vAlign w:val="bottom"/>
          </w:tcPr>
          <w:p>
            <w:pPr>
              <w:spacing w:after="0"/>
              <w:rPr>
                <w:sz w:val="1"/>
                <w:szCs w:val="1"/>
                <w:color w:val="auto"/>
              </w:rPr>
            </w:pPr>
          </w:p>
        </w:tc>
      </w:tr>
      <w:tr>
        <w:trPr>
          <w:trHeight w:val="413"/>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Mr. Todd Schermerhorn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45,200,755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5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208,213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580" w:type="dxa"/>
            <w:vAlign w:val="bottom"/>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13,862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2,606,546</w:t>
            </w:r>
          </w:p>
        </w:tc>
        <w:tc>
          <w:tcPr>
            <w:tcW w:w="0" w:type="dxa"/>
            <w:vAlign w:val="bottom"/>
          </w:tcPr>
          <w:p>
            <w:pPr>
              <w:spacing w:after="0"/>
              <w:rPr>
                <w:sz w:val="1"/>
                <w:szCs w:val="1"/>
                <w:color w:val="auto"/>
              </w:rPr>
            </w:pPr>
          </w:p>
        </w:tc>
      </w:tr>
      <w:tr>
        <w:trPr>
          <w:trHeight w:val="424"/>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Ms. Brooke Story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45,016,151</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6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392,817</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6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w w:val="98"/>
              </w:rPr>
              <w:t>13,862</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r>
        <w:trPr>
          <w:trHeight w:val="413"/>
        </w:trPr>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Mr. Peter Wilver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8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44,875,477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gridSpan w:val="3"/>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533,579</w:t>
            </w:r>
          </w:p>
        </w:tc>
        <w:tc>
          <w:tcPr>
            <w:tcW w:w="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gridSpan w:val="3"/>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13,687</w:t>
            </w:r>
          </w:p>
        </w:tc>
        <w:tc>
          <w:tcPr>
            <w:tcW w:w="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gridSpan w:val="3"/>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2,606,633</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60" w:hanging="255"/>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resolution to approve, on an advisory basis, the Company’s compensation of its named executive officers (“US Say-on-Pay”).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8"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43,234,362</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2,174,138</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14,330</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firstLine="5"/>
        <w:spacing w:after="0" w:line="271" w:lineRule="auto"/>
        <w:tabs>
          <w:tab w:leader="none" w:pos="26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resolution to ratify the appointment of PricewaterhouseCoopers LLP, a Delaware limited liability partnership (“PwC-US”), as the Company’s independent registered public accounting firm for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47,988,756</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21,623</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18,997</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4.</w:t>
        <w:tab/>
        <w:t>Ordinary resolution to approve Amendment No. 1 to the Amended and Restated LivaNova PLC 2022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44,675,024</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733,452</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14,354</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80" w:hanging="275"/>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resolution to approve Amendment No. 2 to the LivaNova PLC 2015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44,739,690</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680,462</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2,678</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100" w:firstLine="5"/>
        <w:spacing w:after="0" w:line="271" w:lineRule="auto"/>
        <w:tabs>
          <w:tab w:leader="none" w:pos="14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resolution to generally and unconditionally authorize the directors, for purposes of section 551 of the Companies Act 2006 (the “Companies Act”) to exercise all powers of the Company to allot shares in the Company and to grant rights to subscribe for, or to convert any security into, shares in the Company up to an aggregate nominal amount of £10,830,212, provided that:</w:t>
      </w:r>
    </w:p>
    <w:p>
      <w:pPr>
        <w:spacing w:after="0" w:line="177" w:lineRule="exact"/>
        <w:rPr>
          <w:rFonts w:ascii="Times New Roman" w:cs="Times New Roman" w:eastAsia="Times New Roman" w:hAnsi="Times New Roman"/>
          <w:sz w:val="14"/>
          <w:szCs w:val="14"/>
          <w:color w:val="auto"/>
        </w:rPr>
      </w:pPr>
    </w:p>
    <w:p>
      <w:pPr>
        <w:ind w:left="520" w:right="220" w:hanging="6"/>
        <w:spacing w:after="0" w:line="248" w:lineRule="auto"/>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193" w:lineRule="exact"/>
        <w:rPr>
          <w:rFonts w:ascii="Times New Roman" w:cs="Times New Roman" w:eastAsia="Times New Roman" w:hAnsi="Times New Roman"/>
          <w:sz w:val="14"/>
          <w:szCs w:val="14"/>
          <w:color w:val="auto"/>
        </w:rPr>
      </w:pPr>
    </w:p>
    <w:p>
      <w:pPr>
        <w:ind w:left="520" w:right="80" w:hanging="6"/>
        <w:spacing w:after="0" w:line="271" w:lineRule="auto"/>
        <w:tabs>
          <w:tab w:leader="none" w:pos="921"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47,268,486</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757,240</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3,650</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20" w:firstLine="5"/>
        <w:spacing w:after="0" w:line="271" w:lineRule="auto"/>
        <w:tabs>
          <w:tab w:leader="none" w:pos="14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Resolution subject to the passing of resolution 6 and in accordance with sections 570 and 573 of the Companies Act, to empower the directors generally to allot equity securities (as defined in section 560 of the Companies Act) for cash pursuant to the authority conferred by resolution 6, and/or to sell ordinary shares (as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 w:name="page5"/>
    <w:bookmarkEnd w:id="4"/>
    <w:p>
      <w:pPr>
        <w:ind w:right="60"/>
        <w:spacing w:after="0" w:line="254" w:lineRule="auto"/>
        <w:rPr>
          <w:sz w:val="20"/>
          <w:szCs w:val="20"/>
          <w:color w:val="auto"/>
        </w:rPr>
      </w:pPr>
      <w:r>
        <w:rPr>
          <w:rFonts w:ascii="Times New Roman" w:cs="Times New Roman" w:eastAsia="Times New Roman" w:hAnsi="Times New Roman"/>
          <w:sz w:val="14"/>
          <w:szCs w:val="14"/>
          <w:color w:val="auto"/>
        </w:rPr>
        <w:t>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£10,830,212, provided that:</w:t>
      </w:r>
    </w:p>
    <w:p>
      <w:pPr>
        <w:spacing w:after="0" w:line="157" w:lineRule="exact"/>
        <w:rPr>
          <w:sz w:val="20"/>
          <w:szCs w:val="20"/>
          <w:color w:val="auto"/>
        </w:rPr>
      </w:pPr>
    </w:p>
    <w:p>
      <w:pPr>
        <w:ind w:left="520" w:right="20" w:hanging="6"/>
        <w:spacing w:after="0" w:line="248" w:lineRule="auto"/>
        <w:tabs>
          <w:tab w:leader="none" w:pos="89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p>
    <w:p>
      <w:pPr>
        <w:spacing w:after="0" w:line="183" w:lineRule="exact"/>
        <w:rPr>
          <w:rFonts w:ascii="Times New Roman" w:cs="Times New Roman" w:eastAsia="Times New Roman" w:hAnsi="Times New Roman"/>
          <w:sz w:val="14"/>
          <w:szCs w:val="14"/>
          <w:color w:val="auto"/>
        </w:rPr>
      </w:pPr>
    </w:p>
    <w:p>
      <w:pPr>
        <w:ind w:left="520" w:right="260" w:hanging="6"/>
        <w:spacing w:after="0" w:line="254" w:lineRule="auto"/>
        <w:tabs>
          <w:tab w:leader="none" w:pos="8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power replaces (except for any power conferred by resolution 6)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45,487,492</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2,539,043</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rPr>
              <w:t>2,841</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320" w:firstLine="5"/>
        <w:spacing w:after="0" w:line="271" w:lineRule="auto"/>
        <w:tabs>
          <w:tab w:leader="none" w:pos="24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resolution to approve, on an advisory basis, the United Kingdom (“UK”) directors’ remuneration report in the form set out in the Company’s UK annual report for the period ended December 31,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43,282,674</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2,121,404</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18,752</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9.</w:t>
        <w:tab/>
        <w:t>Ordinary resolution to receive and adopt the Company’s audited UK statutory accounts for the year ended December 31, 2023, together with the reports of the directors and auditors thereon.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45,278,845</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10,551</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133,434</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2,606,546</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resolution to re-appoint PricewaterhouseCoopers LLP, a limited liability partnership organized under the laws of England (“PwC-UK”), as the Company’s UK statutory auditor for</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47,988,282</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22,316</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18,778</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11.</w:t>
        <w:tab/>
        <w:t>Ordinary resolution to authorize the directors and/or the Audit and Compliance Committee to determine the remuneration of the Company’s UK statutory auditor.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Abstained</w:t>
            </w: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47,985,464</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27,689</w:t>
            </w:r>
          </w:p>
        </w:tc>
        <w:tc>
          <w:tcPr>
            <w:tcW w:w="120" w:type="dxa"/>
            <w:vAlign w:val="bottom"/>
            <w:vMerge w:val="continue"/>
          </w:tcPr>
          <w:p>
            <w:pPr>
              <w:spacing w:after="0"/>
              <w:rPr>
                <w:sz w:val="17"/>
                <w:szCs w:val="17"/>
                <w:color w:val="auto"/>
              </w:rPr>
            </w:pPr>
          </w:p>
        </w:tc>
        <w:tc>
          <w:tcPr>
            <w:tcW w:w="270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16,223</w:t>
            </w:r>
          </w:p>
        </w:tc>
        <w:tc>
          <w:tcPr>
            <w:tcW w:w="120" w:type="dxa"/>
            <w:vAlign w:val="bottom"/>
            <w:vMerge w:val="continue"/>
          </w:tcPr>
          <w:p>
            <w:pPr>
              <w:spacing w:after="0"/>
              <w:rPr>
                <w:sz w:val="17"/>
                <w:szCs w:val="17"/>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156845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12. Ordinary resolution to approve, on an advisory basis, the frequency of US Say-on-Pay votes (“US Say-on-Frequency”).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 Years</w:t>
            </w:r>
          </w:p>
        </w:tc>
        <w:tc>
          <w:tcPr>
            <w:tcW w:w="120" w:type="dxa"/>
            <w:vAlign w:val="bottom"/>
          </w:tcPr>
          <w:p>
            <w:pPr>
              <w:spacing w:after="0"/>
              <w:rPr>
                <w:sz w:val="16"/>
                <w:szCs w:val="16"/>
                <w:color w:val="auto"/>
              </w:rPr>
            </w:pPr>
          </w:p>
        </w:tc>
        <w:tc>
          <w:tcPr>
            <w:tcW w:w="18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4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14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0" w:type="dxa"/>
            <w:vAlign w:val="bottom"/>
          </w:tcPr>
          <w:p>
            <w:pPr>
              <w:spacing w:after="0"/>
              <w:rPr>
                <w:sz w:val="1"/>
                <w:szCs w:val="1"/>
                <w:color w:val="auto"/>
              </w:rPr>
            </w:pPr>
          </w:p>
        </w:tc>
      </w:tr>
      <w:tr>
        <w:trPr>
          <w:trHeight w:val="22"/>
        </w:trPr>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18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22,170,368</w:t>
            </w:r>
          </w:p>
        </w:tc>
        <w:tc>
          <w:tcPr>
            <w:tcW w:w="120" w:type="dxa"/>
            <w:vAlign w:val="bottom"/>
            <w:vMerge w:val="continue"/>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continue"/>
          </w:tcPr>
          <w:p>
            <w:pPr>
              <w:spacing w:after="0"/>
              <w:rPr>
                <w:sz w:val="17"/>
                <w:szCs w:val="17"/>
                <w:color w:val="auto"/>
              </w:rPr>
            </w:pPr>
          </w:p>
        </w:tc>
        <w:tc>
          <w:tcPr>
            <w:tcW w:w="1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252,255</w:t>
            </w:r>
          </w:p>
        </w:tc>
        <w:tc>
          <w:tcPr>
            <w:tcW w:w="140" w:type="dxa"/>
            <w:vAlign w:val="bottom"/>
            <w:vMerge w:val="continue"/>
          </w:tcPr>
          <w:p>
            <w:pPr>
              <w:spacing w:after="0"/>
              <w:rPr>
                <w:sz w:val="17"/>
                <w:szCs w:val="17"/>
                <w:color w:val="auto"/>
              </w:rPr>
            </w:pPr>
          </w:p>
        </w:tc>
        <w:tc>
          <w:tcPr>
            <w:tcW w:w="24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5,137,741</w:t>
            </w:r>
          </w:p>
        </w:tc>
        <w:tc>
          <w:tcPr>
            <w:tcW w:w="140" w:type="dxa"/>
            <w:vAlign w:val="bottom"/>
            <w:vMerge w:val="continue"/>
          </w:tcPr>
          <w:p>
            <w:pPr>
              <w:spacing w:after="0"/>
              <w:rPr>
                <w:sz w:val="17"/>
                <w:szCs w:val="17"/>
                <w:color w:val="auto"/>
              </w:rPr>
            </w:pPr>
          </w:p>
        </w:tc>
        <w:tc>
          <w:tcPr>
            <w:tcW w:w="246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20,469,012</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Based on the voting results for Proposal 12 at the AGM, and the Board’s consideration of the appropriate voting frequency for the Company at this time, the Board has decided that the Company will include a U.S. Say-on-Pay vote in its proxy materials every year until such time as the next advisory vote is submitted to shareholders regarding the frequency of advisory votes on executive compensation, or until the Board otherwise determines that it is in the best interest of the Company to hold a U.S. Say-on-Pay vote with a different frequency.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7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62"/>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spacing w:after="0"/>
              <w:rPr>
                <w:sz w:val="24"/>
                <w:szCs w:val="24"/>
                <w:color w:val="auto"/>
              </w:rPr>
            </w:pPr>
          </w:p>
        </w:tc>
        <w:tc>
          <w:tcPr>
            <w:tcW w:w="5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Amendment No. 1 to the Amended and Restated LivaNova PLC 2022 Incentive Award Plan</w:t>
            </w:r>
          </w:p>
        </w:tc>
      </w:tr>
      <w:tr>
        <w:trPr>
          <w:trHeight w:val="160"/>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60" w:type="dxa"/>
            <w:vAlign w:val="bottom"/>
          </w:tcPr>
          <w:p>
            <w:pPr>
              <w:spacing w:after="0"/>
              <w:rPr>
                <w:sz w:val="13"/>
                <w:szCs w:val="13"/>
                <w:color w:val="auto"/>
              </w:rPr>
            </w:pPr>
          </w:p>
        </w:tc>
        <w:tc>
          <w:tcPr>
            <w:tcW w:w="3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Amendment No. 2 to the LivaNova PLC 2015 Incentive Award Plan</w:t>
            </w:r>
          </w:p>
        </w:tc>
        <w:tc>
          <w:tcPr>
            <w:tcW w:w="1340" w:type="dxa"/>
            <w:vAlign w:val="bottom"/>
          </w:tcPr>
          <w:p>
            <w:pPr>
              <w:spacing w:after="0"/>
              <w:rPr>
                <w:sz w:val="13"/>
                <w:szCs w:val="13"/>
                <w:color w:val="auto"/>
              </w:rPr>
            </w:pPr>
          </w:p>
        </w:tc>
      </w:tr>
    </w:tbl>
    <w:p>
      <w:pPr>
        <w:spacing w:after="0" w:line="17" w:lineRule="exact"/>
        <w:rPr>
          <w:sz w:val="20"/>
          <w:szCs w:val="20"/>
          <w:color w:val="auto"/>
        </w:rPr>
      </w:pPr>
    </w:p>
    <w:p>
      <w:pPr>
        <w:ind w:left="1320" w:hanging="1301"/>
        <w:spacing w:after="0"/>
        <w:tabs>
          <w:tab w:leader="none" w:pos="1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2"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 w:name="page7"/>
    <w:bookmarkEnd w:id="6"/>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23"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4"/>
          <w:szCs w:val="14"/>
          <w:color w:val="auto"/>
        </w:rPr>
        <w:t>Date: June 12, 2024</w:t>
      </w:r>
      <w:r>
        <w:rPr>
          <w:sz w:val="20"/>
          <w:szCs w:val="20"/>
          <w:color w:val="auto"/>
        </w:rPr>
        <w:tab/>
      </w:r>
      <w:r>
        <w:rPr>
          <w:rFonts w:ascii="Times New Roman" w:cs="Times New Roman" w:eastAsia="Times New Roman" w:hAnsi="Times New Roman"/>
          <w:sz w:val="14"/>
          <w:szCs w:val="14"/>
          <w:color w:val="auto"/>
        </w:rPr>
        <w:t>By: /s/ Michael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1270</wp:posOffset>
            </wp:positionV>
            <wp:extent cx="8604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60425" cy="6985"/>
                    </a:xfrm>
                    <a:prstGeom prst="rect">
                      <a:avLst/>
                    </a:prstGeom>
                    <a:noFill/>
                  </pic:spPr>
                </pic:pic>
              </a:graphicData>
            </a:graphic>
          </wp:anchor>
        </w:drawing>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Name: Michael Hutchinson</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Title: SVP, Company Secretary &amp;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820"/>
          </w:cols>
          <w:pgMar w:left="320" w:top="823" w:right="75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lvl w:ilvl="1">
      <w:lvlJc w:val="left"/>
      <w:lvlText w:val="(%2)"/>
      <w:numFmt w:val="upperLetter"/>
      <w:start w:val="1"/>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s://www.sec.gov/ix?doc=/Archives/edgar/data/1639691/000110465924052902/tm242614-d3_def14a.htm#tPN5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2024-06-12T15:25:13Z</dcterms:created>
  <dcterms:modified xsi:type="dcterms:W3CDTF">2024-06-12T15:25:13Z</dcterms:modified>
</cp:coreProperties>
</file>