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wf-form4_168271303411155.xml.htm"/>
      <w:bookmarkStart w:id="1" w:name="kswfform4_16827130341115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McDonald Damien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20 EASTBOURNE TERRACE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LONDON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X0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W2 6LG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LivaNova PLC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LIVN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CEO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03/30/2023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97"/>
        <w:gridCol w:w="906"/>
        <w:gridCol w:w="775"/>
        <w:gridCol w:w="602"/>
        <w:gridCol w:w="351"/>
        <w:gridCol w:w="853"/>
        <w:gridCol w:w="459"/>
        <w:gridCol w:w="759"/>
        <w:gridCol w:w="1172"/>
        <w:gridCol w:w="1005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9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7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9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239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Ordinary Shares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03/30/2023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  <w:r>
              <w:rPr/>
              <w:t xml:space="preserve"> 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2,220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42.55</w:t>
            </w:r>
            <w:r>
              <w:rPr/>
              <w:t xml:space="preserve"> </w:t>
            </w:r>
          </w:p>
        </w:tc>
        <w:tc>
          <w:tcPr>
            <w:tcW w:w="11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111,847</w:t>
            </w:r>
          </w:p>
        </w:tc>
        <w:tc>
          <w:tcPr>
            <w:tcW w:w="10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shares were sold pursuant to a Rule 10b5-1 Plan adopted by reporting person on September 8, 2022.</w:t>
            </w:r>
          </w:p>
        </w:tc>
      </w:tr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/s/ Sarah K. Mohr, POA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04/28/2023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WenQuanYi Zen Hei Sharp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WenQuanYi Zen Hei Sharp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DejaVu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styleId="List">
    <w:name w:val="List"/>
    <w:basedOn w:val="TextBody"/>
    <w:pPr/>
    <w:rPr>
      <w:rFonts w:cs="DejaVu Sans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686894" TargetMode="External"/><Relationship Id="rId4" Type="http://schemas.openxmlformats.org/officeDocument/2006/relationships/hyperlink" Target="http://www.sec.gov/cgi-bin/browse-edgar?action=getcompany&amp;CIK=0001639691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</Pages>
  <Words>536</Words>
  <CharactersWithSpaces>3366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