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253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533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05/05/2018</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9" w:lineRule="exact"/>
        <w:rPr>
          <w:sz w:val="24"/>
          <w:szCs w:val="24"/>
          <w:color w:val="auto"/>
        </w:rPr>
      </w:pPr>
    </w:p>
    <w:p>
      <w:pPr>
        <w:sectPr>
          <w:pgSz w:w="11900" w:h="16838" w:orient="portrait"/>
          <w:cols w:equalWidth="0" w:num="3">
            <w:col w:w="3340" w:space="720"/>
            <w:col w:w="3258" w:space="720"/>
            <w:col w:w="3482"/>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6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7"/>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05/05/2018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4,451</w:t>
            </w: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line="322"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24,467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05/05/2018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5"/>
              </w:rPr>
              <w:t>1,464</w:t>
            </w:r>
            <w:r>
              <w:rPr>
                <w:rFonts w:ascii="Arial" w:cs="Arial" w:eastAsia="Arial" w:hAnsi="Arial"/>
                <w:sz w:val="22"/>
                <w:szCs w:val="22"/>
                <w:color w:val="008000"/>
                <w:w w:val="95"/>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83.57</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23,003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11"/>
          </w:tcPr>
          <w:p>
            <w:pPr>
              <w:ind w:left="7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3"/>
                <w:szCs w:val="13"/>
                <w:color w:val="0000FF"/>
              </w:rPr>
              <w:t>Restricted</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4,451</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0000FF"/>
              </w:rPr>
              <w:t>05/05/2018</w:t>
            </w:r>
          </w:p>
        </w:tc>
        <w:tc>
          <w:tcPr>
            <w:tcW w:w="1200" w:type="dxa"/>
            <w:vAlign w:val="bottom"/>
          </w:tcPr>
          <w:p>
            <w:pPr>
              <w:spacing w:after="0"/>
              <w:rPr>
                <w:sz w:val="12"/>
                <w:szCs w:val="12"/>
                <w:color w:val="auto"/>
              </w:rPr>
            </w:pPr>
          </w:p>
        </w:tc>
        <w:tc>
          <w:tcPr>
            <w:tcW w:w="66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400"/>
              <w:spacing w:after="0" w:line="148" w:lineRule="exact"/>
              <w:rPr>
                <w:sz w:val="20"/>
                <w:szCs w:val="20"/>
                <w:color w:val="auto"/>
              </w:rPr>
            </w:pPr>
            <w:r>
              <w:rPr>
                <w:rFonts w:ascii="Arial" w:cs="Arial" w:eastAsia="Arial" w:hAnsi="Arial"/>
                <w:sz w:val="13"/>
                <w:szCs w:val="13"/>
                <w:color w:val="0000FF"/>
              </w:rPr>
              <w:t>4,451</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line="148" w:lineRule="exact"/>
              <w:rPr>
                <w:sz w:val="20"/>
                <w:szCs w:val="20"/>
                <w:color w:val="auto"/>
              </w:rPr>
            </w:pPr>
            <w:r>
              <w:rPr>
                <w:rFonts w:ascii="Arial" w:cs="Arial" w:eastAsia="Arial" w:hAnsi="Arial"/>
                <w:sz w:val="13"/>
                <w:szCs w:val="13"/>
                <w:color w:val="0000FF"/>
              </w:rPr>
              <w:t>141,829</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52" w:lineRule="exact"/>
        <w:rPr>
          <w:rFonts w:ascii="Arial" w:cs="Arial" w:eastAsia="Arial" w:hAnsi="Arial"/>
          <w:sz w:val="13"/>
          <w:szCs w:val="13"/>
          <w:color w:val="008000"/>
        </w:rPr>
      </w:pPr>
    </w:p>
    <w:p>
      <w:pPr>
        <w:ind w:left="40" w:right="42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Such shares were forfeited and the associated value was used to offset the tax liability associated with the May 5, 2018 vesting of 4,451 RSUs.</w:t>
      </w:r>
    </w:p>
    <w:p>
      <w:pPr>
        <w:spacing w:after="0" w:line="8" w:lineRule="exact"/>
        <w:rPr>
          <w:rFonts w:ascii="Arial" w:cs="Arial" w:eastAsia="Arial" w:hAnsi="Arial"/>
          <w:sz w:val="13"/>
          <w:szCs w:val="13"/>
          <w:color w:val="008000"/>
        </w:rPr>
      </w:pPr>
    </w:p>
    <w:p>
      <w:pPr>
        <w:ind w:left="40" w:right="2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8" w:lineRule="exact"/>
        <w:rPr>
          <w:rFonts w:ascii="Arial" w:cs="Arial" w:eastAsia="Arial" w:hAnsi="Arial"/>
          <w:sz w:val="13"/>
          <w:szCs w:val="13"/>
          <w:color w:val="008000"/>
        </w:rPr>
      </w:pPr>
    </w:p>
    <w:p>
      <w:pPr>
        <w:ind w:left="40" w:right="1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5, 2017, reporting person was granted 17,803 RSUs subject to a four-year vesting schedule, vesting 25% on each of the first four anniversaries of May 5, 2017, subject to continued service during the vesting period.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color w:val="0000FF"/>
              </w:rPr>
              <w:t>/s/ Sarah K. Mohr as POA</w:t>
            </w:r>
          </w:p>
        </w:tc>
        <w:tc>
          <w:tcPr>
            <w:tcW w:w="800" w:type="dxa"/>
            <w:vAlign w:val="bottom"/>
          </w:tcPr>
          <w:p>
            <w:pPr>
              <w:spacing w:after="0"/>
              <w:rPr>
                <w:sz w:val="20"/>
                <w:szCs w:val="20"/>
                <w:color w:val="auto"/>
              </w:rPr>
            </w:pPr>
            <w:r>
              <w:rPr>
                <w:rFonts w:ascii="Arial" w:cs="Arial" w:eastAsia="Arial" w:hAnsi="Arial"/>
                <w:sz w:val="18"/>
                <w:szCs w:val="18"/>
                <w:color w:val="0000FF"/>
                <w:w w:val="86"/>
              </w:rPr>
              <w:t>05/08/2018</w:t>
            </w:r>
          </w:p>
        </w:tc>
      </w:tr>
      <w:tr>
        <w:trPr>
          <w:trHeight w:val="20"/>
        </w:trPr>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2019-12-08T13:06:35Z</dcterms:created>
  <dcterms:modified xsi:type="dcterms:W3CDTF">2019-12-08T13:06:35Z</dcterms:modified>
</cp:coreProperties>
</file>