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6113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Moore Daniel Jeffrey</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20 EASTBOURNE TERRACE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LivaNova PLC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LIVN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8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04/01/2022</w:t>
      </w:r>
    </w:p>
    <w:p>
      <w:pPr>
        <w:spacing w:after="0" w:line="20" w:lineRule="exact"/>
        <w:rPr>
          <w:sz w:val="24"/>
          <w:szCs w:val="24"/>
          <w:color w:val="auto"/>
        </w:rPr>
      </w:pPr>
      <w:r>
        <w:rPr>
          <w:sz w:val="24"/>
          <w:szCs w:val="24"/>
          <w:color w:val="auto"/>
        </w:rPr>
        <w:br w:type="column"/>
      </w:r>
    </w:p>
    <w:p>
      <w:pPr>
        <w:ind w:left="5" w:right="540" w:hanging="5"/>
        <w:spacing w:after="0" w:line="26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5"/>
        <w:spacing w:after="0"/>
        <w:tabs>
          <w:tab w:leader="none" w:pos="504" w:val="left"/>
          <w:tab w:leader="none" w:pos="2064"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94"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11"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4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Times New Roman" w:cs="Times New Roman" w:eastAsia="Times New Roman" w:hAnsi="Times New Roman"/>
                <w:sz w:val="17"/>
                <w:szCs w:val="17"/>
                <w:color w:val="0000FF"/>
              </w:rPr>
              <w:t>LONDON</w:t>
            </w:r>
          </w:p>
        </w:tc>
        <w:tc>
          <w:tcPr>
            <w:tcW w:w="106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X0</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W2 6LG</w:t>
            </w:r>
          </w:p>
        </w:tc>
      </w:tr>
      <w:tr>
        <w:trPr>
          <w:trHeight w:val="155"/>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(City)</w:t>
            </w:r>
          </w:p>
        </w:tc>
        <w:tc>
          <w:tcPr>
            <w:tcW w:w="1060" w:type="dxa"/>
            <w:vAlign w:val="bottom"/>
          </w:tcPr>
          <w:p>
            <w:pPr>
              <w:ind w:left="2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020"/>
        <w:spacing w:after="0"/>
        <w:tabs>
          <w:tab w:leader="none" w:pos="43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96"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00" w:type="dxa"/>
            <w:vAlign w:val="bottom"/>
            <w:gridSpan w:val="2"/>
          </w:tcPr>
          <w:p>
            <w:pPr>
              <w:ind w:left="3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380"/>
              <w:spacing w:after="0" w:line="133"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11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00" w:type="dxa"/>
            <w:vAlign w:val="bottom"/>
            <w:gridSpan w:val="2"/>
          </w:tcPr>
          <w:p>
            <w:pPr>
              <w:ind w:left="38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spacing w:after="0" w:line="133" w:lineRule="exact"/>
              <w:rPr>
                <w:sz w:val="20"/>
                <w:szCs w:val="20"/>
                <w:color w:val="auto"/>
              </w:rPr>
            </w:pPr>
            <w:r>
              <w:rPr>
                <w:rFonts w:ascii="Arial" w:cs="Arial" w:eastAsia="Arial" w:hAnsi="Arial"/>
                <w:sz w:val="12"/>
                <w:szCs w:val="12"/>
                <w:b w:val="1"/>
                <w:bCs w:val="1"/>
                <w:color w:val="auto"/>
              </w:rPr>
              <w:t>if any</w:t>
            </w: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112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2"/>
          </w:tcPr>
          <w:p>
            <w:pPr>
              <w:ind w:left="480"/>
              <w:spacing w:after="0"/>
              <w:rPr>
                <w:sz w:val="20"/>
                <w:szCs w:val="20"/>
                <w:color w:val="auto"/>
              </w:rPr>
            </w:pPr>
            <w:r>
              <w:rPr>
                <w:rFonts w:ascii="Times New Roman" w:cs="Times New Roman" w:eastAsia="Times New Roman" w:hAnsi="Times New Roman"/>
                <w:sz w:val="17"/>
                <w:szCs w:val="17"/>
                <w:color w:val="0000FF"/>
              </w:rPr>
              <w:t>04/01/2022</w:t>
            </w:r>
          </w:p>
        </w:tc>
        <w:tc>
          <w:tcPr>
            <w:tcW w:w="4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1,000</w:t>
            </w:r>
            <w:r>
              <w:rPr>
                <w:rFonts w:ascii="Times New Roman" w:cs="Times New Roman" w:eastAsia="Times New Roman" w:hAnsi="Times New Roman"/>
                <w:sz w:val="22"/>
                <w:szCs w:val="22"/>
                <w:color w:val="008000"/>
                <w:vertAlign w:val="superscript"/>
              </w:rPr>
              <w:t>(1)</w:t>
            </w:r>
          </w:p>
        </w:tc>
        <w:tc>
          <w:tcPr>
            <w:tcW w:w="4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3"/>
          </w:tcPr>
          <w:p>
            <w:pPr>
              <w:ind w:lef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83.416</w:t>
            </w:r>
            <w:r>
              <w:rPr>
                <w:rFonts w:ascii="Times New Roman" w:cs="Times New Roman" w:eastAsia="Times New Roman" w:hAnsi="Times New Roman"/>
                <w:sz w:val="22"/>
                <w:szCs w:val="22"/>
                <w:color w:val="008000"/>
                <w:vertAlign w:val="superscript"/>
              </w:rPr>
              <w:t>(2)</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24,630</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sold pursuant to a Rule 10b5-1 Plan adopted by reporting person on May 18, 2021.</w:t>
      </w:r>
    </w:p>
    <w:p>
      <w:pPr>
        <w:spacing w:after="0" w:line="50" w:lineRule="exact"/>
        <w:rPr>
          <w:rFonts w:ascii="Times New Roman" w:cs="Times New Roman" w:eastAsia="Times New Roman" w:hAnsi="Times New Roman"/>
          <w:sz w:val="13"/>
          <w:szCs w:val="13"/>
          <w:color w:val="008000"/>
        </w:rPr>
      </w:pPr>
    </w:p>
    <w:p>
      <w:pPr>
        <w:ind w:left="40" w:right="3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weighted average selling price. Securities sold through 7 separate sales on the transaction date at prices ranging from $82.05 to $84.42. The reporting person hereby undertakes to provide upon request to the SEC, the issuer or any stockholder of the issuer, the full information regarding the number of shares and prices at which the transaction was effected.</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Daniel J. Moore</w:t>
            </w: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04/05/2022</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400857" TargetMode="External"/><Relationship Id="rId13" Type="http://schemas.openxmlformats.org/officeDocument/2006/relationships/hyperlink" Target="http://www.sec.gov/cgi-bin/browse-edgar?action=getcompany&amp;CIK=0001639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2022-04-05T12:49:13Z</dcterms:created>
  <dcterms:modified xsi:type="dcterms:W3CDTF">2022-04-05T12:49:13Z</dcterms:modified>
</cp:coreProperties>
</file>