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-235585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5074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07492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Bianchi Francesco</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LivaNova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LIVN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7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06/15/2022</w:t>
      </w:r>
    </w:p>
    <w:p>
      <w:pPr>
        <w:spacing w:after="0" w:line="20" w:lineRule="exact"/>
        <w:rPr>
          <w:sz w:val="24"/>
          <w:szCs w:val="24"/>
          <w:color w:val="auto"/>
        </w:rPr>
      </w:pPr>
      <w:r>
        <w:rPr>
          <w:sz w:val="24"/>
          <w:szCs w:val="24"/>
          <w:color w:val="auto"/>
        </w:rPr>
        <w:br w:type="column"/>
      </w:r>
    </w:p>
    <w:p>
      <w:pPr>
        <w:ind w:left="5" w:right="600" w:hanging="5"/>
        <w:spacing w:after="0" w:line="261"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85"/>
        <w:spacing w:after="0"/>
        <w:tabs>
          <w:tab w:leader="none" w:pos="504" w:val="left"/>
          <w:tab w:leader="none" w:pos="208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8"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X0</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W2 6LG</w:t>
            </w:r>
          </w:p>
        </w:tc>
      </w:tr>
      <w:tr>
        <w:trPr>
          <w:trHeight w:val="151"/>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ind w:left="4040"/>
        <w:spacing w:after="0" w:line="236"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4"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68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06/15/2022</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1,346</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center"/>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6,638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00" w:type="dxa"/>
            <w:vAlign w:val="bottom"/>
          </w:tcPr>
          <w:p>
            <w:pPr>
              <w:spacing w:after="0"/>
              <w:rPr>
                <w:sz w:val="22"/>
                <w:szCs w:val="22"/>
                <w:color w:val="auto"/>
              </w:rPr>
            </w:pPr>
          </w:p>
        </w:tc>
        <w:tc>
          <w:tcPr>
            <w:tcW w:w="1720" w:type="dxa"/>
            <w:vAlign w:val="bottom"/>
            <w:gridSpan w:val="2"/>
          </w:tcPr>
          <w:p>
            <w:pPr>
              <w:ind w:left="760"/>
              <w:spacing w:after="0"/>
              <w:rPr>
                <w:sz w:val="20"/>
                <w:szCs w:val="20"/>
                <w:color w:val="auto"/>
              </w:rPr>
            </w:pPr>
            <w:r>
              <w:rPr>
                <w:rFonts w:ascii="Times New Roman" w:cs="Times New Roman" w:eastAsia="Times New Roman" w:hAnsi="Times New Roman"/>
                <w:sz w:val="17"/>
                <w:szCs w:val="17"/>
                <w:color w:val="0000FF"/>
              </w:rPr>
              <w:t>06/15/2022</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Pr>
          <w:p>
            <w:pPr>
              <w:spacing w:after="0"/>
              <w:rPr>
                <w:sz w:val="22"/>
                <w:szCs w:val="22"/>
                <w:color w:val="auto"/>
              </w:rPr>
            </w:pPr>
          </w:p>
        </w:tc>
        <w:tc>
          <w:tcPr>
            <w:tcW w:w="5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0000FF"/>
              </w:rPr>
              <w:t>98</w:t>
            </w:r>
          </w:p>
        </w:tc>
        <w:tc>
          <w:tcPr>
            <w:tcW w:w="6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3"/>
          </w:tcPr>
          <w:p>
            <w:pPr>
              <w:jc w:val="center"/>
              <w:ind w:right="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59.94</w:t>
            </w:r>
          </w:p>
        </w:tc>
        <w:tc>
          <w:tcPr>
            <w:tcW w:w="118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6,540</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1,346</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100" w:type="dxa"/>
            <w:vAlign w:val="bottom"/>
          </w:tcPr>
          <w:p>
            <w:pPr>
              <w:ind w:left="260"/>
              <w:spacing w:after="0" w:line="130" w:lineRule="exact"/>
              <w:rPr>
                <w:sz w:val="20"/>
                <w:szCs w:val="20"/>
                <w:color w:val="auto"/>
              </w:rPr>
            </w:pPr>
            <w:r>
              <w:rPr>
                <w:rFonts w:ascii="Times New Roman" w:cs="Times New Roman" w:eastAsia="Times New Roman" w:hAnsi="Times New Roman"/>
                <w:sz w:val="13"/>
                <w:szCs w:val="13"/>
                <w:color w:val="0000FF"/>
              </w:rPr>
              <w:t>06/15/2022</w:t>
            </w:r>
          </w:p>
        </w:tc>
        <w:tc>
          <w:tcPr>
            <w:tcW w:w="1080" w:type="dxa"/>
            <w:vAlign w:val="bottom"/>
          </w:tcPr>
          <w:p>
            <w:pPr>
              <w:spacing w:after="0"/>
              <w:rPr>
                <w:sz w:val="11"/>
                <w:szCs w:val="11"/>
                <w:color w:val="auto"/>
              </w:rPr>
            </w:pPr>
          </w:p>
        </w:tc>
        <w:tc>
          <w:tcPr>
            <w:tcW w:w="64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1"/>
                <w:szCs w:val="11"/>
                <w:color w:val="auto"/>
              </w:rPr>
            </w:pPr>
          </w:p>
        </w:tc>
        <w:tc>
          <w:tcPr>
            <w:tcW w:w="78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1,346</w:t>
            </w: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ind w:left="10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-2111375</wp:posOffset>
            </wp:positionV>
            <wp:extent cx="29210" cy="21164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64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had vested restricted stock units (RSUs) settled in ordinary shares of LivaNova PLC (the Company), GBP 1.00 par value.</w:t>
      </w:r>
    </w:p>
    <w:p>
      <w:pPr>
        <w:spacing w:after="0" w:line="45" w:lineRule="exact"/>
        <w:rPr>
          <w:rFonts w:ascii="Times New Roman" w:cs="Times New Roman" w:eastAsia="Times New Roman" w:hAnsi="Times New Roman"/>
          <w:sz w:val="13"/>
          <w:szCs w:val="13"/>
          <w:color w:val="008000"/>
        </w:rPr>
      </w:pPr>
    </w:p>
    <w:p>
      <w:pPr>
        <w:ind w:left="40" w:right="2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15, 2021, reporting person was granted RSUs to vest and forfeiture restrictions thereon to lapse on June 15, 2022, subject to continued service during the vesting period and the award agreement.</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/s/ Sarah K. Mohr, POA</w:t>
            </w:r>
          </w:p>
        </w:tc>
        <w:tc>
          <w:tcPr>
            <w:tcW w:w="5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06/17/2022</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56080"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2022-06-17T15:38:38Z</dcterms:created>
  <dcterms:modified xsi:type="dcterms:W3CDTF">2022-06-17T15:38:38Z</dcterms:modified>
</cp:coreProperties>
</file>