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8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Bianchi Francesco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4" w:val="left"/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203200</wp:posOffset>
            </wp:positionV>
            <wp:extent cx="6967220" cy="13138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3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-2065020</wp:posOffset>
            </wp:positionV>
            <wp:extent cx="7033260" cy="21075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had vested restricted stock units (RSUs) settled in ordinary shares of LivaNova PLC (the Company), GBP 1.00 par value.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referenced shares were withheld from distribution at the request of reporting person to satisfy tax liability.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contingent right to receive one ordinary share of the Company in accordance with the terms of the LivaNova PLC 2015 Incentive Award Plan (the Plan) and the award agreement.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was granted RSUs to vest and forfeiture restrictions thereon to lapse on June 18 2020, subject to continued service during the vesting period and the RSU Agreement.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Sarah K. Mohr, POA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6080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2020-06-22T16:51:14Z</dcterms:created>
  <dcterms:modified xsi:type="dcterms:W3CDTF">2020-06-22T16:51:14Z</dcterms:modified>
</cp:coreProperties>
</file>