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00"/>
        <w:spacing w:after="0"/>
        <w:rPr>
          <w:sz w:val="20"/>
          <w:szCs w:val="20"/>
          <w:color w:val="auto"/>
        </w:rPr>
      </w:pPr>
      <w:r>
        <w:rPr>
          <w:rFonts w:ascii="Arial" w:cs="Arial" w:eastAsia="Arial" w:hAnsi="Arial"/>
          <w:sz w:val="18"/>
          <w:szCs w:val="18"/>
          <w:b w:val="1"/>
          <w:bCs w:val="1"/>
          <w:color w:val="auto"/>
        </w:rPr>
        <w:t>As filed with the United States Securities and Exchange Commission on October 19,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SECURITIES AND EXCHANGE COMMISSION</w:t>
      </w:r>
    </w:p>
    <w:p>
      <w:pPr>
        <w:ind w:left="3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REGISTRATION STATEMENT</w:t>
      </w:r>
    </w:p>
    <w:p>
      <w:pPr>
        <w:jc w:val="center"/>
        <w:ind w:right="46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60"/>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880"/>
          </w:cols>
          <w:pgMar w:left="1240" w:top="229"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3940" w:space="720"/>
            <w:col w:w="3060" w:space="720"/>
            <w:col w:w="1440"/>
          </w:cols>
          <w:pgMar w:left="1240" w:top="229" w:right="77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(State or other jurisdiction of</w:t>
      </w:r>
    </w:p>
    <w:p>
      <w:pPr>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3200" w:space="720"/>
            <w:col w:w="3400" w:space="720"/>
            <w:col w:w="1840"/>
          </w:cols>
          <w:pgMar w:left="1240" w:top="229" w:right="779" w:bottom="1440" w:gutter="0" w:footer="0" w:header="0"/>
          <w:type w:val="continuous"/>
        </w:sectPr>
      </w:pP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5 Merchant Square</w:t>
      </w: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Telephone: +44 20 37865275</w:t>
      </w:r>
    </w:p>
    <w:p>
      <w:pPr>
        <w:spacing w:after="0" w:line="2" w:lineRule="exact"/>
        <w:rPr>
          <w:sz w:val="24"/>
          <w:szCs w:val="24"/>
          <w:color w:val="auto"/>
        </w:rPr>
      </w:pPr>
    </w:p>
    <w:p>
      <w:pPr>
        <w:ind w:left="2920"/>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233680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880"/>
          </w:cols>
          <w:pgMar w:left="1240" w:top="229" w:right="779" w:bottom="1440" w:gutter="0" w:footer="0" w:header="0"/>
          <w:type w:val="continuous"/>
        </w:sectPr>
      </w:pPr>
    </w:p>
    <w:p>
      <w:pPr>
        <w:spacing w:after="0" w:line="200" w:lineRule="exact"/>
        <w:rPr>
          <w:sz w:val="24"/>
          <w:szCs w:val="24"/>
          <w:color w:val="auto"/>
        </w:rPr>
      </w:pPr>
    </w:p>
    <w:p>
      <w:pPr>
        <w:spacing w:after="0" w:line="380" w:lineRule="exact"/>
        <w:rPr>
          <w:sz w:val="24"/>
          <w:szCs w:val="24"/>
          <w:color w:val="auto"/>
        </w:rPr>
      </w:pPr>
    </w:p>
    <w:p>
      <w:pPr>
        <w:jc w:val="center"/>
        <w:ind w:left="1820" w:right="2260"/>
        <w:spacing w:after="0" w:line="254" w:lineRule="auto"/>
        <w:rPr>
          <w:sz w:val="20"/>
          <w:szCs w:val="20"/>
          <w:color w:val="auto"/>
        </w:rPr>
      </w:pPr>
      <w:r>
        <w:rPr>
          <w:rFonts w:ascii="Arial" w:cs="Arial" w:eastAsia="Arial" w:hAnsi="Arial"/>
          <w:sz w:val="18"/>
          <w:szCs w:val="18"/>
          <w:b w:val="1"/>
          <w:bCs w:val="1"/>
          <w:color w:val="auto"/>
        </w:rPr>
        <w:t>LIVANOVA PLC 2015 INCENTIVE AWARD PLAN LIVANOVA PLC EMPLOYEE BENEFIT TRUST CYBERONICS, INC. 2009 STOCK PLAN CYBERONICS, INC. 2005 STOCK PLAN CYBERONICS, INC. AMENDED AND RESTATED 1997 STOCK PLAN CYBERONICS, INC. AMENDED AND RESTATED 1996 STOCK PLAN CYBERONICS, INC. NEW EMPLOYEE EQUITY INDUCEMENT PLAN</w:t>
      </w:r>
    </w:p>
    <w:p>
      <w:pPr>
        <w:spacing w:after="0" w:line="210"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c/o C T Corporation System</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111 Eighth Avenue</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New York, NY 10011</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+1(212) 894-8800</w:t>
      </w:r>
    </w:p>
    <w:p>
      <w:pPr>
        <w:spacing w:after="0" w:line="2" w:lineRule="exact"/>
        <w:rPr>
          <w:sz w:val="24"/>
          <w:szCs w:val="24"/>
          <w:color w:val="auto"/>
        </w:rPr>
      </w:pPr>
    </w:p>
    <w:p>
      <w:pPr>
        <w:ind w:left="2260"/>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226695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880"/>
          </w:cols>
          <w:pgMar w:left="1240" w:top="229" w:right="7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Luke Bergstrom,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Roderick Branch,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Bradd Williamson,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(650) 328-4600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 to be</w:t>
            </w:r>
          </w:p>
        </w:tc>
        <w:tc>
          <w:tcPr>
            <w:tcW w:w="16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Amount to be</w:t>
            </w:r>
          </w:p>
        </w:tc>
        <w:tc>
          <w:tcPr>
            <w:tcW w:w="1740" w:type="dxa"/>
            <w:vAlign w:val="bottom"/>
            <w:tcBorders>
              <w:right w:val="single" w:sz="8" w:color="auto"/>
            </w:tcBorders>
          </w:tcPr>
          <w:p>
            <w:pPr>
              <w:jc w:val="center"/>
              <w:ind w:left="19"/>
              <w:spacing w:after="0" w:line="106"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Offering Price Per</w:t>
            </w:r>
          </w:p>
        </w:tc>
        <w:tc>
          <w:tcPr>
            <w:tcW w:w="17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rPr>
              <w:t>Registered (1)</w:t>
            </w:r>
          </w:p>
        </w:tc>
        <w:tc>
          <w:tcPr>
            <w:tcW w:w="17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£1 per share</w:t>
            </w:r>
          </w:p>
        </w:tc>
        <w:tc>
          <w:tcPr>
            <w:tcW w:w="160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10,586,323 (2)</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$1.546 (6)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$16,366,455.36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$1,648.10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par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180,076 (3)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$51.34 (7)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$9,245,101.84</w:t>
            </w: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89"/>
              </w:rPr>
              <w:t>$930.98</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par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333,430 (4)</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$1.546 (6)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$515,482.78</w:t>
            </w: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0"/>
              </w:rPr>
              <w:t>$51.91</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par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813,794 (5)</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$44.25 (8)</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$36,010,384.50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this Registration Statement shall also cover any additional ordinary shares of the Registrant, par value £1 per share (“</w:t>
      </w:r>
      <w:r>
        <w:rPr>
          <w:rFonts w:ascii="Arial" w:cs="Arial" w:eastAsia="Arial" w:hAnsi="Arial"/>
          <w:sz w:val="18"/>
          <w:szCs w:val="18"/>
          <w:u w:val="single" w:color="auto"/>
          <w:color w:val="auto"/>
        </w:rPr>
        <w:t>Ordinary Shares</w:t>
      </w:r>
      <w:r>
        <w:rPr>
          <w:rFonts w:ascii="Arial" w:cs="Arial" w:eastAsia="Arial" w:hAnsi="Arial"/>
          <w:sz w:val="18"/>
          <w:szCs w:val="18"/>
          <w:color w:val="auto"/>
        </w:rPr>
        <w:t>”), that become issuable under the Registrant’s 2015 Incentive Award Plan, the Cyberonics, Inc. 2009 Stock Plan, the Cyberonics, Inc. 2005 Stock Plan, the Cyberonics, Inc. Amended and Restated 1997 Stock Plan, the Cyberonics, Inc. Amended and Restated 1996 Stock Plan and the Cyberonics, Inc. New Employee Equity Inducement Plan (collectively, the “</w:t>
      </w:r>
      <w:r>
        <w:rPr>
          <w:rFonts w:ascii="Arial" w:cs="Arial" w:eastAsia="Arial" w:hAnsi="Arial"/>
          <w:sz w:val="18"/>
          <w:szCs w:val="18"/>
          <w:u w:val="single" w:color="auto"/>
          <w:color w:val="auto"/>
        </w:rPr>
        <w:t>Plans</w:t>
      </w:r>
      <w:r>
        <w:rPr>
          <w:rFonts w:ascii="Arial" w:cs="Arial" w:eastAsia="Arial" w:hAnsi="Arial"/>
          <w:sz w:val="18"/>
          <w:szCs w:val="18"/>
          <w:color w:val="auto"/>
        </w:rPr>
        <w:t>”) by reason of any stock dividend, stock split, recapitalization or other similar transaction effected without receipt of consideration that increases the number of outstanding Ordinary Shares.</w:t>
      </w:r>
    </w:p>
    <w:p>
      <w:pPr>
        <w:ind w:left="460" w:right="26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upon exercise or settlement of awards that may be granted pursuant to (a) the LivaNova PLC 2015 Incentive Award Plan and the LivaNova PLC Employee Benefit Trust (8,800,000 Ordinary Shares) and (b) the Cyberonics, Inc. 2009 Stock Plan (based on the existing unused share reserve under such plan, as converted based on the Cyberonics Exchange Ratio) (1,786,323 Ordinary Shares).</w:t>
      </w:r>
    </w:p>
    <w:p>
      <w:pPr>
        <w:spacing w:after="0" w:line="2"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issuable under the LivaNova PLC 2015 Incentive Award Plan and the LivaNova PLC Employee Benefit Trust upon the exercise of Sorin SARs granted under the Sorin 2014-2016 Long-Term Incentive Plan (the “</w:t>
      </w:r>
      <w:r>
        <w:rPr>
          <w:rFonts w:ascii="Arial" w:cs="Arial" w:eastAsia="Arial" w:hAnsi="Arial"/>
          <w:sz w:val="18"/>
          <w:szCs w:val="18"/>
          <w:u w:val="single" w:color="auto"/>
          <w:color w:val="auto"/>
        </w:rPr>
        <w:t>2014 LTIP</w:t>
      </w:r>
      <w:r>
        <w:rPr>
          <w:rFonts w:ascii="Arial" w:cs="Arial" w:eastAsia="Arial" w:hAnsi="Arial"/>
          <w:sz w:val="18"/>
          <w:szCs w:val="18"/>
          <w:color w:val="auto"/>
        </w:rPr>
        <w:t>”).</w:t>
      </w:r>
    </w:p>
    <w:p>
      <w:pPr>
        <w:ind w:left="460" w:right="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upon exercise of (a) Sorin Performance Awards granted under the Sorin 2012-2014 Long-Term Incentive Plan (the “</w:t>
      </w:r>
      <w:r>
        <w:rPr>
          <w:rFonts w:ascii="Arial" w:cs="Arial" w:eastAsia="Arial" w:hAnsi="Arial"/>
          <w:sz w:val="16"/>
          <w:szCs w:val="16"/>
          <w:u w:val="single" w:color="auto"/>
          <w:color w:val="auto"/>
        </w:rPr>
        <w:t>2012 LTIP</w:t>
      </w:r>
      <w:r>
        <w:rPr>
          <w:rFonts w:ascii="Arial" w:cs="Arial" w:eastAsia="Arial" w:hAnsi="Arial"/>
          <w:sz w:val="16"/>
          <w:szCs w:val="16"/>
          <w:color w:val="auto"/>
        </w:rPr>
        <w:t>”), the 2013-2015 Long-Term Incentive Plan and the 2014 LTIP (collectively, the “</w:t>
      </w:r>
      <w:r>
        <w:rPr>
          <w:rFonts w:ascii="Arial" w:cs="Arial" w:eastAsia="Arial" w:hAnsi="Arial"/>
          <w:sz w:val="16"/>
          <w:szCs w:val="16"/>
          <w:u w:val="single" w:color="auto"/>
          <w:color w:val="auto"/>
        </w:rPr>
        <w:t>Sorin LTIP Plans</w:t>
      </w:r>
      <w:r>
        <w:rPr>
          <w:rFonts w:ascii="Arial" w:cs="Arial" w:eastAsia="Arial" w:hAnsi="Arial"/>
          <w:sz w:val="16"/>
          <w:szCs w:val="16"/>
          <w:color w:val="auto"/>
        </w:rPr>
        <w:t>”) (264,821 Ordinary Shares)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Sorin Deferred Bonus Shares granted under the Sorin Deferred Bonus Plan (68,609 Ordinary Shares).</w:t>
      </w:r>
    </w:p>
    <w:p>
      <w:pPr>
        <w:spacing w:after="0" w:line="9"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issuable upon the exercise of Cyberonics Options granted pursuant to (a) the Cyberonics, Inc. 2009 Stock Plan, (b) the Cyberonics, Inc. 2005 Stock Plan, (c) the Cyberonics, Inc. Amended and Restated 1997 Stock Plan, (d) the Cyberonics, Inc. 1996 Stock Plan and (e) the Cyberonics, Inc. New Employee Equity Inducement Plan (collectively, the “</w:t>
      </w:r>
      <w:r>
        <w:rPr>
          <w:rFonts w:ascii="Arial" w:cs="Arial" w:eastAsia="Arial" w:hAnsi="Arial"/>
          <w:sz w:val="18"/>
          <w:szCs w:val="18"/>
          <w:u w:val="single" w:color="auto"/>
          <w:color w:val="auto"/>
        </w:rPr>
        <w:t>Cyberonics Stock Plans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of the Securities Act based on the book value of the Ordinary Shares, calculated as of October 16, 2015 at the exchange rate of U.S. dollars per British Pound of $1.546 (as reported on October 15, 2015), since there has not been any trading in the Registrant’s Ordinary Shares.</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of the Securities Act. The proposed maximum offering price per share is based on the weighted average exercise price per share of the Sorin SARs (as converted to LivaNova awards based on the Sorin Exchange Ratio).</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of the Securities Act. The proposed maximum offering price per share is based on the weighted average exercise price per share of the outstanding Cyberonics Options (as converted to LivaNova awards based on the Cyberonics Exchange Ratio).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23, 2015, LivaNova PLC, a public limited company incorporated under the laws of England and Wales (herein referred to as “</w:t>
      </w:r>
      <w:r>
        <w:rPr>
          <w:rFonts w:ascii="Arial" w:cs="Arial" w:eastAsia="Arial" w:hAnsi="Arial"/>
          <w:sz w:val="18"/>
          <w:szCs w:val="18"/>
          <w:u w:val="single" w:color="auto"/>
          <w:color w:val="auto"/>
        </w:rPr>
        <w:t>LivaNova</w:t>
      </w:r>
      <w:r>
        <w:rPr>
          <w:rFonts w:ascii="Arial" w:cs="Arial" w:eastAsia="Arial" w:hAnsi="Arial"/>
          <w:sz w:val="18"/>
          <w:szCs w:val="18"/>
          <w:color w:val="auto"/>
        </w:rPr>
        <w:t>” or the “</w:t>
      </w:r>
      <w:r>
        <w:rPr>
          <w:rFonts w:ascii="Arial" w:cs="Arial" w:eastAsia="Arial" w:hAnsi="Arial"/>
          <w:sz w:val="18"/>
          <w:szCs w:val="18"/>
          <w:u w:val="single" w:color="auto"/>
          <w:color w:val="auto"/>
        </w:rPr>
        <w:t>Registrant</w:t>
      </w:r>
      <w:r>
        <w:rPr>
          <w:rFonts w:ascii="Arial" w:cs="Arial" w:eastAsia="Arial" w:hAnsi="Arial"/>
          <w:sz w:val="18"/>
          <w:szCs w:val="18"/>
          <w:color w:val="auto"/>
        </w:rPr>
        <w:t>”), Cypher Merger Sub, Inc., a Delaware corporation and wholly-owned subsidiary of LivaNova PLC (“</w:t>
      </w:r>
      <w:r>
        <w:rPr>
          <w:rFonts w:ascii="Arial" w:cs="Arial" w:eastAsia="Arial" w:hAnsi="Arial"/>
          <w:sz w:val="18"/>
          <w:szCs w:val="18"/>
          <w:u w:val="single" w:color="auto"/>
          <w:color w:val="auto"/>
        </w:rPr>
        <w:t>Merger Sub</w:t>
      </w:r>
      <w:r>
        <w:rPr>
          <w:rFonts w:ascii="Arial" w:cs="Arial" w:eastAsia="Arial" w:hAnsi="Arial"/>
          <w:sz w:val="18"/>
          <w:szCs w:val="18"/>
          <w:color w:val="auto"/>
        </w:rPr>
        <w:t>”), Sorin S.p.A., a joint stock company organized under the laws of Italy (“</w:t>
      </w:r>
      <w:r>
        <w:rPr>
          <w:rFonts w:ascii="Arial" w:cs="Arial" w:eastAsia="Arial" w:hAnsi="Arial"/>
          <w:sz w:val="18"/>
          <w:szCs w:val="18"/>
          <w:u w:val="single" w:color="auto"/>
          <w:color w:val="auto"/>
        </w:rPr>
        <w:t>Sorin</w:t>
      </w:r>
      <w:r>
        <w:rPr>
          <w:rFonts w:ascii="Arial" w:cs="Arial" w:eastAsia="Arial" w:hAnsi="Arial"/>
          <w:sz w:val="18"/>
          <w:szCs w:val="18"/>
          <w:color w:val="auto"/>
        </w:rPr>
        <w:t>”), and Cyberonics, a Delaware corporation (“</w:t>
      </w:r>
      <w:r>
        <w:rPr>
          <w:rFonts w:ascii="Arial" w:cs="Arial" w:eastAsia="Arial" w:hAnsi="Arial"/>
          <w:sz w:val="18"/>
          <w:szCs w:val="18"/>
          <w:u w:val="single" w:color="auto"/>
          <w:color w:val="auto"/>
        </w:rPr>
        <w:t>Cyberonics</w:t>
      </w:r>
      <w:r>
        <w:rPr>
          <w:rFonts w:ascii="Arial" w:cs="Arial" w:eastAsia="Arial" w:hAnsi="Arial"/>
          <w:sz w:val="18"/>
          <w:szCs w:val="18"/>
          <w:color w:val="auto"/>
        </w:rPr>
        <w:t>”), entered into a merger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the Merger Agreement, Sorin merged with and into LivaNova PLC, with LivaNova PLC continuing as the suriving company (the “</w:t>
      </w:r>
      <w:r>
        <w:rPr>
          <w:rFonts w:ascii="Arial" w:cs="Arial" w:eastAsia="Arial" w:hAnsi="Arial"/>
          <w:sz w:val="18"/>
          <w:szCs w:val="18"/>
          <w:u w:val="single" w:color="auto"/>
          <w:color w:val="auto"/>
        </w:rPr>
        <w:t>Sorin Merger</w:t>
      </w:r>
      <w:r>
        <w:rPr>
          <w:rFonts w:ascii="Arial" w:cs="Arial" w:eastAsia="Arial" w:hAnsi="Arial"/>
          <w:sz w:val="18"/>
          <w:szCs w:val="18"/>
          <w:color w:val="auto"/>
        </w:rPr>
        <w:t>”). Immediately following the Sorin Merger, Merger Sub merged with and into Cyberonics, with Cyberonics continuing as the surviving company and as a wholly owned subsidiary of LivaNova PLC (the “Cyberonics Merger”). We refer to the Sorin Merger and the Cyberonics Merger together as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89"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At the effective time of the Sorin Merger, each stock appreciation right granted under the 2014 LTIP (each, a “</w:t>
      </w:r>
      <w:r>
        <w:rPr>
          <w:rFonts w:ascii="Arial" w:cs="Arial" w:eastAsia="Arial" w:hAnsi="Arial"/>
          <w:sz w:val="16"/>
          <w:szCs w:val="16"/>
          <w:u w:val="single" w:color="auto"/>
          <w:color w:val="auto"/>
        </w:rPr>
        <w:t>Sorin SAR</w:t>
      </w:r>
      <w:r>
        <w:rPr>
          <w:rFonts w:ascii="Arial" w:cs="Arial" w:eastAsia="Arial" w:hAnsi="Arial"/>
          <w:sz w:val="16"/>
          <w:szCs w:val="16"/>
          <w:color w:val="auto"/>
        </w:rPr>
        <w:t>”) was fully vested and converted into a stock appreciation right issued under the Sub-Plan with respect to a number of Shares equal to the product (rounded down to the nearest whole number) obtained by multiplying (i) the number of ordinary shares of Sorin subject to such Sorin SAR by (ii) the Sorin exchange ratio of 0.0472 (the “</w:t>
      </w:r>
      <w:r>
        <w:rPr>
          <w:rFonts w:ascii="Arial" w:cs="Arial" w:eastAsia="Arial" w:hAnsi="Arial"/>
          <w:sz w:val="16"/>
          <w:szCs w:val="16"/>
          <w:u w:val="single" w:color="auto"/>
          <w:color w:val="auto"/>
        </w:rPr>
        <w:t>Sorin Exchange Ratio</w:t>
      </w:r>
      <w:r>
        <w:rPr>
          <w:rFonts w:ascii="Arial" w:cs="Arial" w:eastAsia="Arial" w:hAnsi="Arial"/>
          <w:sz w:val="16"/>
          <w:szCs w:val="16"/>
          <w:color w:val="auto"/>
        </w:rPr>
        <w:t>”), at an exercise price per share equal to the quotient (rounded up to the nearest whole cent) obtained by dividing (a) the per share exercise price specified in the Sorin SAR by (b) the Sorin Exchange Ratio (which exercise price may have been converted into U.S. dollars or British pounds based on the applicable currency exchange rates). Also as of the effective time of the Sorin Merger, (i) any vesting conditions applicable to each outstanding restricted stock unit pursuant to the Sorin LTIP Plans other than the 2012 LTIP (each a “</w:t>
      </w:r>
      <w:r>
        <w:rPr>
          <w:rFonts w:ascii="Arial" w:cs="Arial" w:eastAsia="Arial" w:hAnsi="Arial"/>
          <w:sz w:val="16"/>
          <w:szCs w:val="16"/>
          <w:u w:val="single" w:color="auto"/>
          <w:color w:val="auto"/>
        </w:rPr>
        <w:t>Sorin RSU</w:t>
      </w:r>
      <w:r>
        <w:rPr>
          <w:rFonts w:ascii="Arial" w:cs="Arial" w:eastAsia="Arial" w:hAnsi="Arial"/>
          <w:sz w:val="16"/>
          <w:szCs w:val="16"/>
          <w:color w:val="auto"/>
        </w:rPr>
        <w:t>”) and each outstanding performance share pursuant to the Sorin LTIP Plans other than the 2012 LTIP (each, a “</w:t>
      </w:r>
      <w:r>
        <w:rPr>
          <w:rFonts w:ascii="Arial" w:cs="Arial" w:eastAsia="Arial" w:hAnsi="Arial"/>
          <w:sz w:val="16"/>
          <w:szCs w:val="16"/>
          <w:u w:val="single" w:color="auto"/>
          <w:color w:val="auto"/>
        </w:rPr>
        <w:t>Sorin Performance Share</w:t>
      </w:r>
      <w:r>
        <w:rPr>
          <w:rFonts w:ascii="Arial" w:cs="Arial" w:eastAsia="Arial" w:hAnsi="Arial"/>
          <w:sz w:val="16"/>
          <w:szCs w:val="16"/>
          <w:color w:val="auto"/>
        </w:rPr>
        <w:t>”) accelerated at 100% at the target level and was converted based on the Sorin Exchange Ratio into the right to receive a number of Shares issued under the Sub-Plan (together, the “</w:t>
      </w:r>
      <w:r>
        <w:rPr>
          <w:rFonts w:ascii="Arial" w:cs="Arial" w:eastAsia="Arial" w:hAnsi="Arial"/>
          <w:sz w:val="16"/>
          <w:szCs w:val="16"/>
          <w:u w:val="single" w:color="auto"/>
          <w:color w:val="auto"/>
        </w:rPr>
        <w:t>Converted Sorin Share Awards</w:t>
      </w:r>
      <w:r>
        <w:rPr>
          <w:rFonts w:ascii="Arial" w:cs="Arial" w:eastAsia="Arial" w:hAnsi="Arial"/>
          <w:sz w:val="16"/>
          <w:szCs w:val="16"/>
          <w:color w:val="auto"/>
        </w:rPr>
        <w:t>”), with a portion of the Converted Sorin Share Awards to be provided within three business days of the effective time of the Sorin Merger, an additional portion of the Converted Sorin Share Awards to be provided on February 26, 2016 and an additional portion of the Converted Sorin Share Awards to be provided on February 26, 2017. As of the effective time of the Sorin Merger, holders of performance shares granted under the 2012 LTIP were entitled to receive a number of Shares equal to the product of (i) 69.43% of the number of Sorin ordinary shares that would have been payable with respect to such performance shares under the terms of the 2012 LTIP if the respective performance target levels had been achieved at 100% with respect to such awards by (ii) the Sorin Exchange Ratio (the “</w:t>
      </w:r>
      <w:r>
        <w:rPr>
          <w:rFonts w:ascii="Arial" w:cs="Arial" w:eastAsia="Arial" w:hAnsi="Arial"/>
          <w:sz w:val="16"/>
          <w:szCs w:val="16"/>
          <w:u w:val="single" w:color="auto"/>
          <w:color w:val="auto"/>
        </w:rPr>
        <w:t>2012 Sorin Performance Shares</w:t>
      </w:r>
      <w:r>
        <w:rPr>
          <w:rFonts w:ascii="Arial" w:cs="Arial" w:eastAsia="Arial" w:hAnsi="Arial"/>
          <w:sz w:val="16"/>
          <w:szCs w:val="16"/>
          <w:color w:val="auto"/>
        </w:rPr>
        <w:t>”). As of the effective time of the Sorin Merger, any vesting conditions applicable to outstanding deferred bonus shares (the “</w:t>
      </w:r>
      <w:r>
        <w:rPr>
          <w:rFonts w:ascii="Arial" w:cs="Arial" w:eastAsia="Arial" w:hAnsi="Arial"/>
          <w:sz w:val="16"/>
          <w:szCs w:val="16"/>
          <w:u w:val="single" w:color="auto"/>
          <w:color w:val="auto"/>
        </w:rPr>
        <w:t>Deferred Shares</w:t>
      </w:r>
      <w:r>
        <w:rPr>
          <w:rFonts w:ascii="Arial" w:cs="Arial" w:eastAsia="Arial" w:hAnsi="Arial"/>
          <w:sz w:val="16"/>
          <w:szCs w:val="16"/>
          <w:color w:val="auto"/>
        </w:rPr>
        <w:t>”) were accelerated and each Deferred Share was converted into the right to receive a number of Shares equal to the product of (i) the number of Sorin ordinary shares subject to the Deferred Share as of the Sorin Merger by (ii) the Sorin Exchange Ratio. All outstanding awards became fully vested in connection with the Sorin Merger.</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effective time of the Cyberonics Merger, each outstanding unvested Cyberonics stock option granted pursuant to the Cyberonics Stock Plans (the “</w:t>
      </w:r>
      <w:r>
        <w:rPr>
          <w:rFonts w:ascii="Arial" w:cs="Arial" w:eastAsia="Arial" w:hAnsi="Arial"/>
          <w:sz w:val="16"/>
          <w:szCs w:val="16"/>
          <w:u w:val="single" w:color="auto"/>
          <w:color w:val="auto"/>
        </w:rPr>
        <w:t>Cyberonics Options</w:t>
      </w:r>
      <w:r>
        <w:rPr>
          <w:rFonts w:ascii="Arial" w:cs="Arial" w:eastAsia="Arial" w:hAnsi="Arial"/>
          <w:sz w:val="16"/>
          <w:szCs w:val="16"/>
          <w:color w:val="auto"/>
        </w:rPr>
        <w:t>”) became fully vested, and all Cyberonics Options (other than any option granted prior to January 1, 2013 held by any directors or executive officer of Cyberonics which was cashed out) were then cancelled and converted into an option to purchase a number of Shares equal to the product (rounded down to the nearest whole number) of (i) the total number of shares subject to such stock option immediately prior to the Cyberonics Merger and</w:t>
      </w:r>
    </w:p>
    <w:p>
      <w:pPr>
        <w:spacing w:after="0" w:line="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 (the “</w:t>
      </w:r>
      <w:r>
        <w:rPr>
          <w:rFonts w:ascii="Arial" w:cs="Arial" w:eastAsia="Arial" w:hAnsi="Arial"/>
          <w:sz w:val="16"/>
          <w:szCs w:val="16"/>
          <w:u w:val="single" w:color="auto"/>
          <w:color w:val="auto"/>
        </w:rPr>
        <w:t>Cyberonics Exchange Ratio</w:t>
      </w:r>
      <w:r>
        <w:rPr>
          <w:rFonts w:ascii="Arial" w:cs="Arial" w:eastAsia="Arial" w:hAnsi="Arial"/>
          <w:sz w:val="16"/>
          <w:szCs w:val="16"/>
          <w:color w:val="auto"/>
        </w:rPr>
        <w:t>”), at an exercise price per share equal to the quotient (rounded up to the nearest whole cent) obtained by dividing</w:t>
      </w:r>
    </w:p>
    <w:p>
      <w:pPr>
        <w:spacing w:after="0" w:line="32" w:lineRule="exact"/>
        <w:rPr>
          <w:rFonts w:ascii="Arial" w:cs="Arial" w:eastAsia="Arial" w:hAnsi="Arial"/>
          <w:sz w:val="16"/>
          <w:szCs w:val="16"/>
          <w:color w:val="auto"/>
        </w:rPr>
      </w:pPr>
    </w:p>
    <w:p>
      <w:pPr>
        <w:ind w:firstLine="8"/>
        <w:spacing w:after="0" w:line="25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 share exercise price of such Cyberonics Option by (b) the Cyberonics Exchange Ratio. As a result of the Mergers, the Registrant assumed the Cyberonics Stock Plans at the effective time of the Cyberonics Merger and may also issue future equity or equity-based awards under the Cyberonics, Inc. 2009 Stock Plan to employees who (i) were employees of Cyberonics prior to the effective time of the Cyberonics Merger or (ii) are hired by the Registrant or any of its subsidiaries (including Cyberonics) after the effective time of the Cyberonics Merger.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documents containing the information specified in Item 1 will be sent or given to participants in the Plans as specified by Rule 428(b)(1) of the Securities Act. Such documents are not required to be and are not filed with the United States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either as part of this Registration Statement on Form S-8 (this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 as prospectuses or prospectus supplements pursuant to Rule 424.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Upon written or oral request, any of the documents incorporated by reference in Item 3 of Part II of this Registration Statement (which documents are incorporated by reference in a Section 10(a) Prospectus), other documents required to be delivered to eligible employees, non-employee directors and consultants, pursuant to Rule 428(b) or additional information about the Plan are available without charge by contacting:</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Brian Sheridan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W2 1AY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following documents, which have been filed with the Commission pursuant to the Securities Act or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applicable, are incorporated by reference in, and shall be deemed to be a part of, this Registration Statement:</w:t>
      </w:r>
    </w:p>
    <w:p>
      <w:pPr>
        <w:spacing w:after="0" w:line="16" w:lineRule="exact"/>
        <w:rPr>
          <w:sz w:val="20"/>
          <w:szCs w:val="20"/>
          <w:color w:val="auto"/>
        </w:rPr>
      </w:pPr>
    </w:p>
    <w:p>
      <w:pPr>
        <w:ind w:left="460" w:right="880" w:firstLine="443"/>
        <w:spacing w:after="0" w:line="277"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LivaNova’s final prospectus filed with the Commission pursuant to Rule 424(b) under the Securities Act on August 21, 2015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342" w:lineRule="auto"/>
        <w:tabs>
          <w:tab w:leader="none" w:pos="1153" w:val="left"/>
        </w:tabs>
        <w:numPr>
          <w:ilvl w:val="0"/>
          <w:numId w:val="4"/>
        </w:numPr>
        <w:rPr>
          <w:rFonts w:ascii="Arial" w:cs="Arial" w:eastAsia="Arial" w:hAnsi="Arial"/>
          <w:sz w:val="16"/>
          <w:szCs w:val="16"/>
          <w:color w:val="auto"/>
        </w:rPr>
      </w:pPr>
      <w:r>
        <w:rPr>
          <w:rFonts w:ascii="Arial" w:cs="Arial" w:eastAsia="Arial" w:hAnsi="Arial"/>
          <w:sz w:val="16"/>
          <w:szCs w:val="16"/>
          <w:color w:val="auto"/>
        </w:rPr>
        <w:t>Cyberonics’ Annual Report on Form 10-K for the fiscal year ended April 24, 2015, filed with the Commission on June 15, 2015 (as amended by Amendment No. 1 on Form 10-K/A, filed with the Commission on July 1, 2015 and Amendment No. 2 on Form 10-K/A filed on July 28, 2015);</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reports filed by Cyberonics pursuant to Section 13(a) or 15(d) of the Exchange Act since the annual report referred to in (b) above;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description of LivaNova’s Ordinary Shares contained in the Prospectus under the heading “Description of Holdco Ordinary Shares.”</w:t>
      </w:r>
    </w:p>
    <w:p>
      <w:pPr>
        <w:spacing w:after="0" w:line="2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reports and other documents filed by LivaNova with the Commission pursuant to Sections 13(a), 13(c), 14 and 15(d) of the Exchange Act since August 19, 2015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5" w:name="page6"/>
    <w:bookmarkEnd w:id="5"/>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LivaNova is currently a public limited company incorporated under the laws of England and Wales. Chapter 7 of Part 10 of the U.K. Companies Act 2006 contains provisions relating to directors’ liability. All statutory references in this Item 6 are to the U.K. Companies Act 2006.</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16"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234 allows LivaNova to provide an indemnity against liability incurred by a director to someone other than LivaNova or an associated company of LivaNova.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U.K. Companies Act 2006.</w:t>
      </w:r>
    </w:p>
    <w:p>
      <w:pPr>
        <w:spacing w:after="0" w:line="18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Section 235 allows LivaNova to provide indemnification to a director that is a trustee of an occupational pension scheme if joint liability incurred in connection with the company’s activities as trustee of the scheme. Such provision does not permit indemnification against liability to pay criminal fines or civil penalties to a regulatory authority or the costs of an unsuccessful defense of criminal proceedings.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member has a right to inspect and request such copies under Section 238).</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LivaNova articles of association provide that, subject to the U.K. Companies Act 2006, LivaNova may indemnify any person who is or was a director of LivaNova or any associated company against any loss or liability incurred by him whether in connection with any negligence, default, breach of duty or breach of trust by him or otherwise, in relation to LivaNova or any associated company, and any person who is or was a director of an associated company that is a trustee of an occupational pension scheme, against any liability incurred by him in connection with the company’s activities as trustee of an occupational pension scheme.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LivaNova articles of association also provide that, subject to the U.K. Companies Act 2006, LivaNova may purchase and maintain insurance for or for the benefit of any person who is or was a director, officer or employee of LivaNova, or any corporate entity which is or was the holding company or subsidiary undertaking of LivaNova, or in which LivaNova or such holding company or subsidiary undertaking has or had any interest or with which LivaNova or such holding company or subsidiary undertaking is or was in any way allied or associated.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LivaNova or the relevant body.</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Merger Agreement provides that, from and after the completion of the Mergers, LivaNova and the Cyberonics Merger surviving corporation (in the case of directors, officers, employees and agents of Cyberonics and its subsidiaries), and LivaNova or one of its subsidiaries, to the extent required by law and for a period of six (6) years following the Sorin Merger effective time (in the case of directors, officers, employees and agents of Sorin and its subsidiaries), will indemnify and hold harmless, to the fullest extent permitted under applicable law (and advance expenses as incurred, provided that the person to whom expenses are advanced provides an undertaking to repay such advances if it is ultimately determined that such person is not entitled to indemnification) each present and former director, officer, employee and agent of Cyberonics, Sorin or any of their subsidiaries against any costs or expenses (including reasonable attorneys’ fees), judgments, settlement amounts, fines, losses, claims, damages or liabilities incurred in connection with any claim, action, suit, proceeding or investigation, whether civil criminal, administrative or investigative, arising out of or related to such person’s service as a director, officer, employee or agent of Sorin or its subsidiaries at or prior to the Sorin merger effective time, or of Cyberonics or any of its subsidiaries at or prior to the Cyberonics merger effective time.</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Merger Agreement further provides that, for a period of not less than six years after completion of the Mergers, the articles of association, certificates of incorporation and by-laws of LivaNova, the Cyberonics Merger surviving corporation and their respective subsidiaries will contain provisions no less favorable with respect to exculpation, indemnification and advancement of expenses to directors, officers, employees and agents than those set forth in Sorin’s, Cyberonics’ and their respective subsidiaries’ certificate of incorporation, by-laws or other equivalent organizational documents as of the date of the letter of intent, except as may be required by applicable law. The contractual indemnification rights, if any, existing as of the date of the letter of intent, of the directors, officers, employees and agents of Sorin and Cyberonics will be assumed by LivaNova and Cyberonics and will continue in full force and effect in accordance with their terms following the completion of the mergers.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Additionally, for the benefit of Sorin’s and Cyberonics’ former directors and officers, prior to completion of the Mergers, Cyberonics and Sorin will be permitted and, if Cyberonics or Sorin are unable to or do not do so, LivaNova will or will cause the Cyberonics Merger surviving corporation following the completion of the Mergers to, as applicable, obtain and fully pay the premium for a “tail” directors’ and officers’ liability insurance and indemnification policy that provides coverage for a period of six (6) years from the effective times for events occurring prior to the effective times, that is no less favorable in the aggregate than Cyberonics’ existing policies, except as may be required by law, and that has a cost not in excess of 300% of the last annual premiums paid by Sorin or Cyberonics, as the case may be, prior to the date of the Merger Agreement for the directors’ and officers’ insurance currently in place in effect for such party as of the date of the Merger Agreement. In the event the annual premiums necessary to provide such coverage exceed 300% of the last annual premium paid prior to the date of the Merger Agreement, LivaNova or Cyberonics, as the case may be, will obtain a policy with the greatest amount of coverage available for a cost not to exceed such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either LivaNova or Cyberonics (or both) later consolidates with or merges into another person and shall not be the continuing or surviving corporation or entity of such consolidation or merger, or transfers all or substantially all of its assets to another person, then proper provision will be made such that the surviving or continuing company will assume the indemnification and insurance obligations of LivaNova and/or Cyberonics, as the case may be, set forth in the Merger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list of exhibits included as part of this Registration Statement is set forth in the Index to Exhibits appearing elsewhere herein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60" w:firstLine="421"/>
        <w:spacing w:after="0" w:line="255" w:lineRule="auto"/>
        <w:tabs>
          <w:tab w:leader="none" w:pos="1605"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920" w:right="180" w:firstLine="421"/>
        <w:spacing w:after="0" w:line="277" w:lineRule="auto"/>
        <w:tabs>
          <w:tab w:leader="none" w:pos="1655"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shall not apply if the information required to be included on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by or furnished to the Commission by the Registrant pursuant to Section 13 or Section 15(d) of the Exchange Act that are incorporated by reference in this Registration Statement.</w:t>
      </w:r>
    </w:p>
    <w:p>
      <w:pPr>
        <w:spacing w:after="0" w:line="73" w:lineRule="exact"/>
        <w:rPr>
          <w:sz w:val="20"/>
          <w:szCs w:val="20"/>
          <w:color w:val="auto"/>
        </w:rPr>
      </w:pPr>
    </w:p>
    <w:p>
      <w:pPr>
        <w:ind w:left="460" w:right="60" w:firstLine="443"/>
        <w:spacing w:after="0" w:line="264"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 w:name="page9"/>
    <w:bookmarkEnd w:id="8"/>
    <w:p>
      <w:pPr>
        <w:ind w:left="460" w:right="580" w:firstLine="443"/>
        <w:spacing w:after="0" w:line="277" w:lineRule="auto"/>
        <w:tabs>
          <w:tab w:leader="none" w:pos="1153"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40" w:firstLine="464"/>
        <w:spacing w:after="0" w:line="259"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8" w:lineRule="exact"/>
        <w:rPr>
          <w:rFonts w:ascii="Arial" w:cs="Arial" w:eastAsia="Arial" w:hAnsi="Arial"/>
          <w:sz w:val="18"/>
          <w:szCs w:val="18"/>
          <w:color w:val="auto"/>
        </w:rPr>
      </w:pPr>
    </w:p>
    <w:p>
      <w:pPr>
        <w:ind w:firstLine="464"/>
        <w:spacing w:after="0" w:line="291" w:lineRule="auto"/>
        <w:tabs>
          <w:tab w:leader="none" w:pos="70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Milan, Italy on this 19th day of October,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LIVANOVA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André-Michel Ballester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300"/>
          </w:cols>
          <w:pgMar w:left="240" w:top="270"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Taylor Pollock as his</w:t>
      </w:r>
      <w:r>
        <w:rPr>
          <w:rFonts w:ascii="Arial" w:cs="Arial" w:eastAsia="Arial" w:hAnsi="Arial"/>
          <w:sz w:val="18"/>
          <w:szCs w:val="18"/>
          <w:i w:val="1"/>
          <w:iCs w:val="1"/>
          <w:color w:val="auto"/>
        </w:rPr>
        <w:t xml:space="preserve"> </w:t>
      </w:r>
      <w:r>
        <w:rPr>
          <w:rFonts w:ascii="Arial" w:cs="Arial" w:eastAsia="Arial" w:hAnsi="Arial"/>
          <w:sz w:val="18"/>
          <w:szCs w:val="18"/>
          <w:color w:val="auto"/>
        </w:rPr>
        <w:t>true and lawful attorney-in-fact and agent with full power of substitution, for him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9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50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340" w:type="dxa"/>
            <w:vAlign w:val="bottom"/>
            <w:gridSpan w:val="3"/>
          </w:tcPr>
          <w:p>
            <w:pPr>
              <w:jc w:val="center"/>
              <w:ind w:left="99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André-Michel Ballester</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 and Chief Executive Officer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André-Michel Ballester</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Vivid Sehgal</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Vivid Sehgal</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Piero Vecchi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Controller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Piero Vecchi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J. Moore</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 and Chairman</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Daniel J. Moore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Rosario Bifulco</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Rosario Bifulco</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Hugh Morrison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Hugh Morrison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Alfred J. Novak</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Alfred J. Novak</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L. Rosenthal</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Arthur L. Rosenthal</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Francesco Bianchi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Francesco Bianchi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Sharon O’Kane</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Sharon O’Kane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Stefano Gianotti</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Stefano Gianotti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Taylor Pollock</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Authorized Representative in the United States</w:t>
            </w:r>
          </w:p>
        </w:tc>
        <w:tc>
          <w:tcPr>
            <w:tcW w:w="2340" w:type="dxa"/>
            <w:vAlign w:val="bottom"/>
            <w:gridSpan w:val="3"/>
          </w:tcPr>
          <w:p>
            <w:pPr>
              <w:jc w:val="center"/>
              <w:ind w:left="991"/>
              <w:spacing w:after="0"/>
              <w:rPr>
                <w:sz w:val="20"/>
                <w:szCs w:val="20"/>
                <w:color w:val="auto"/>
              </w:rPr>
            </w:pPr>
            <w:r>
              <w:rPr>
                <w:rFonts w:ascii="Arial" w:cs="Arial" w:eastAsia="Arial" w:hAnsi="Arial"/>
                <w:sz w:val="18"/>
                <w:szCs w:val="18"/>
                <w:color w:val="auto"/>
                <w:w w:val="90"/>
              </w:rPr>
              <w:t>October 19,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Name: Taylor Pollock</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40" w:type="dxa"/>
            <w:vAlign w:val="bottom"/>
            <w:gridSpan w:val="3"/>
          </w:tcPr>
          <w:p>
            <w:pPr>
              <w:ind w:left="43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40" w:type="dxa"/>
            <w:vAlign w:val="bottom"/>
            <w:gridSpan w:val="3"/>
            <w:vMerge w:val="restart"/>
          </w:tcPr>
          <w:p>
            <w:pPr>
              <w:ind w:left="5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5"/>
              </w:rPr>
              <w:t>Form of Articles of Association of LivaNova PLC (f/k/a Sand Holdco PLC) is incorporated by reference to Annex D to the LivaNova PLC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prospectus filed with the Commission pursuant to Rule 424(b)(3) on August 21, 2015 (Registration File No. 333-203510)</w:t>
            </w:r>
          </w:p>
        </w:tc>
        <w:tc>
          <w:tcPr>
            <w:tcW w:w="0" w:type="dxa"/>
            <w:vAlign w:val="bottom"/>
          </w:tcPr>
          <w:p>
            <w:pPr>
              <w:spacing w:after="0"/>
              <w:rPr>
                <w:sz w:val="1"/>
                <w:szCs w:val="1"/>
                <w:color w:val="auto"/>
              </w:rPr>
            </w:pP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2"/>
              </w:rPr>
              <w:t>LivaNova PLC 2015 Incentive Award Plan through which ordinary shares under the LivaNova PLC Employee Benefit Trust can be issued 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allocated, as the case may be</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0"/>
              </w:rPr>
              <w:t>Cyberonics, Inc. 2009 Stock Plan, as amended, is incorporated by reference to Appendix A to Cyberonics’ Proxy Statement on Schedule 14A,</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filed on August 2, 2012 (Registration File No. 000-19806)</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1"/>
              </w:rPr>
              <w:t>Cyberonics, Inc. 2005 Stock Plan, as amended, is incorporated by reference to Exhibit 10.2 to Cyberonics’ Quarterly Report on Form 10-Q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the quarter ended October 24, 2008 (Registration File No. 000-19806)</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1"/>
              </w:rPr>
              <w:t>Cyberonics, Inc. Amended and Restated 1997 Stock Plan, as amended, is incorporated by reference to Exhibit 10.1 to Cyberonics’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Report on Form 10-Q for the quarter ended October 24, 2008 (Registration File No. 000-19806)</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0"/>
              </w:rPr>
              <w:t>Cyberonics, Inc. Amended and Restated 1996 Stock Plan, as amended, is incorporated by reference to Exhibit 4.1 to Cyberonics’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Statement on Form S-8, filed on July 25, 2002 (Registration File No. 333-97095)</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w w:val="91"/>
              </w:rPr>
              <w:t>Amended and Restated Cyberonics, Inc. New Employee Equity Inducement Plan, as amended, is incorporated by reference to Exhibit 10.3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Cyberonics’ Quarterly Report on Form 10-Q for the quarter ended October 24, 2008 (Registration File No. 000-19806)</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Opinion of Latham &amp; Watkins LLP (London)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PricewaterhouseCoopers S.p.A. (Sorin S.p.A.)</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23.2*</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Reconta Ernst &amp; Young S.p.A. (Sorin S.p.A.)</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23.3*</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KPMG LLP (Cyberonics,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23.4*</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Latham &amp; Watkins LLP (London)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24.1*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Powers of Attorney (included in the signature page of the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99.1*</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Rothschild S.p.A. (Sorin S.p.A.)</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99.2*</w:t>
            </w:r>
          </w:p>
        </w:tc>
        <w:tc>
          <w:tcPr>
            <w:tcW w:w="10840" w:type="dxa"/>
            <w:vAlign w:val="bottom"/>
            <w:gridSpan w:val="3"/>
          </w:tcPr>
          <w:p>
            <w:pPr>
              <w:ind w:left="560"/>
              <w:spacing w:after="0"/>
              <w:rPr>
                <w:sz w:val="20"/>
                <w:szCs w:val="20"/>
                <w:color w:val="auto"/>
              </w:rPr>
            </w:pPr>
            <w:r>
              <w:rPr>
                <w:rFonts w:ascii="Arial" w:cs="Arial" w:eastAsia="Arial" w:hAnsi="Arial"/>
                <w:sz w:val="18"/>
                <w:szCs w:val="18"/>
                <w:color w:val="auto"/>
              </w:rPr>
              <w:t>Consent of Piper Jaffray &amp; Co. (Cyberonics, Inc.)</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360"/>
          </w:cols>
          <w:pgMar w:left="240" w:top="270"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purpose of the LivaNova PLC 2015 Incentive Award Plan (as it may be amended or restated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LivaNova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(a) provisions of the Listing Rules of the London Stock Exchange published by the UK Listing Authority, the Code, the Securities Act, the Exchange Act and any rules or regulations thereunder; (b) corporate, securities, tax or other laws, statutes, rules, requirements or regulations, whether federal, state, local or foreign, applicable in the United Kingdom, United States or any other jurisdiction; and (c) rules of any securities exchange or automated quotation system on which the Shares are listed, quoted or traded.</w:t>
      </w:r>
    </w:p>
    <w:p>
      <w:pPr>
        <w:sectPr>
          <w:pgSz w:w="11900" w:h="16838" w:orient="portrait"/>
          <w:cols w:equalWidth="0" w:num="1">
            <w:col w:w="11420"/>
          </w:cols>
          <w:pgMar w:left="240" w:top="121" w:right="239" w:bottom="1440" w:gutter="0" w:footer="0" w:header="0"/>
        </w:sectPr>
      </w:pPr>
    </w:p>
    <w:bookmarkStart w:id="13" w:name="page14"/>
    <w:bookmarkEnd w:id="1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Closing</w:t>
      </w:r>
      <w:r>
        <w:rPr>
          <w:rFonts w:ascii="Arial" w:cs="Arial" w:eastAsia="Arial" w:hAnsi="Arial"/>
          <w:sz w:val="18"/>
          <w:szCs w:val="18"/>
          <w:color w:val="auto"/>
        </w:rPr>
        <w:t>” shall mean the closing of the transactions contemplated by the Transaction Agreement among Sorin S.P.A., Sand Holdco Limited, Cypher Merger Sub, Inc. and Cyberonics, Inc., dated as of February 26, 2015.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given in section 995 (2) of the Income Tax Act 2007, unless otherwise specified;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17"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Sale;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Takeover.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12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become, a “covered employee” within the meaning of Section 162(m)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Director Limit</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of the Closing; provided that the Plan shall be effective immediately following the Closing on the Effective Date and in any event prior to Listing.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2.22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24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Subsidiary.</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13.1(c).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17" w:lineRule="exact"/>
        <w:rPr>
          <w:sz w:val="20"/>
          <w:szCs w:val="20"/>
          <w:color w:val="auto"/>
        </w:rPr>
      </w:pPr>
    </w:p>
    <w:p>
      <w:pPr>
        <w:ind w:right="80" w:firstLine="921"/>
        <w:spacing w:after="0" w:line="277"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Shares are (i) listed on any established securities exchange (such as the New York Stock Exchange, the NASDAQ Capital Market, the NASDAQ Global Market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NASDAQ Global Select Market), (ii) listed on any national market system or (iii) listed quoted or traded on any automated quotation system, their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79" w:lineRule="exact"/>
        <w:rPr>
          <w:sz w:val="20"/>
          <w:szCs w:val="20"/>
          <w:color w:val="auto"/>
        </w:rPr>
      </w:pPr>
    </w:p>
    <w:p>
      <w:pPr>
        <w:ind w:right="40" w:firstLine="921"/>
        <w:spacing w:after="0" w:line="279"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If the Shares are not listed on an established securities exchange, national market system or automated quotation system, but the Shares are regularly quoted by a recognized securities dealer, their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w:t>
      </w:r>
    </w:p>
    <w:p>
      <w:pPr>
        <w:spacing w:after="0" w:line="63" w:lineRule="exact"/>
        <w:rPr>
          <w:rFonts w:ascii="Arial" w:cs="Arial" w:eastAsia="Arial" w:hAnsi="Arial"/>
          <w:sz w:val="17"/>
          <w:szCs w:val="17"/>
          <w:color w:val="auto"/>
        </w:rPr>
      </w:pPr>
    </w:p>
    <w:p>
      <w:pPr>
        <w:ind w:right="360" w:firstLine="921"/>
        <w:spacing w:after="0" w:line="308" w:lineRule="auto"/>
        <w:tabs>
          <w:tab w:leader="none" w:pos="11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Shares are neither listed on an established securities exchange, national market system or automated quotation system nor regularly quoted by a recognized securities dealer, their Fair Market Value shall be established by the Administrator in good faith.</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Notwithstanding the foregoing, with respect to any Award granted on or prior to the Public Trading Date, the Fair Market Value shall mean the opening price of a Share on the Public Trading Date.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Listing</w:t>
      </w:r>
      <w:r>
        <w:rPr>
          <w:rFonts w:ascii="Arial" w:cs="Arial" w:eastAsia="Arial" w:hAnsi="Arial"/>
          <w:sz w:val="18"/>
          <w:szCs w:val="18"/>
          <w:color w:val="auto"/>
        </w:rPr>
        <w:t>” shall mean the time upon which the Shares are first listed and begin trading on any national securities exchange (as defined in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2.36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association,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 which may include, without limitation, deferred stock, deferred stock units, stock payments and performance awards.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Administrator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103" w:lineRule="exact"/>
        <w:rPr>
          <w:sz w:val="20"/>
          <w:szCs w:val="20"/>
          <w:color w:val="auto"/>
        </w:rPr>
      </w:pPr>
    </w:p>
    <w:p>
      <w:pPr>
        <w:ind w:firstLine="921"/>
        <w:spacing w:after="0" w:line="291" w:lineRule="auto"/>
        <w:tabs>
          <w:tab w:leader="none" w:pos="11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w:t>
      </w:r>
    </w:p>
    <w:p>
      <w:pPr>
        <w:ind w:right="60" w:firstLine="8"/>
        <w:spacing w:after="0" w:line="281"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earnings or loss per share; (xviii) price per share or dividends per share (or appreciation in and/or maintenance of such price or dividends);</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achievements or compliance (including, without limitation, regulatory body approval for commercialization of a product);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(xxi) market share; (xxii) economic value; (xxiii) productivity; (xxiv) operating efficiency;</w:t>
      </w:r>
    </w:p>
    <w:p>
      <w:pPr>
        <w:spacing w:after="0" w:line="9" w:lineRule="exact"/>
        <w:rPr>
          <w:rFonts w:ascii="Arial" w:cs="Arial" w:eastAsia="Arial" w:hAnsi="Arial"/>
          <w:sz w:val="18"/>
          <w:szCs w:val="18"/>
          <w:color w:val="auto"/>
        </w:rPr>
      </w:pPr>
    </w:p>
    <w:p>
      <w:pPr>
        <w:ind w:right="300" w:firstLine="8"/>
        <w:spacing w:after="0" w:line="281" w:lineRule="auto"/>
        <w:tabs>
          <w:tab w:leader="none" w:pos="4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economic value-added; (xxvi) cash flow return on capital; (xxvii) return on net assets; (xxviii); funds from operations; (xxix) funds available for distributions; (xxx) sales and sales unit volume; (xxxi) licensing revenue; (xxxii) brand recognition and acceptance; (xxxiii) inventory turns or cycle time;</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penetration and geographic business expansion; (xxxv) customer satisfaction/growth; (xxxvi) customer service; (xxxvi) employee satisfaction;</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recruitment and maintenance of personnel; (xxxviii) human resources management; (xxxix) supervision of litigation and other legal matters;</w:t>
      </w:r>
    </w:p>
    <w:p>
      <w:pPr>
        <w:spacing w:after="0" w:line="20"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(xl) strategic partnerships and transactions; (xli) financial ratios (including those measuring liquidity, activity, profitability or leverage); (xlii) new or existing store results and operations and new store openings; (xliii) supply chain achievements; (xliv) debt levels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reductions; (xlv) sales-related goals; (xlvi) financing and other capital raising transactions; (xlvii) year-end cash; (xlviii) acquisition activity; (xlix) investment sourcing activity; (l) marketing initiatives, any of which may be measured either in absolute terms or as compared to any incremental increase or decrease or as compared to results of a peer group or to market performance indicators or indices.</w:t>
      </w:r>
    </w:p>
    <w:p>
      <w:pPr>
        <w:spacing w:after="0" w:line="73" w:lineRule="exact"/>
        <w:rPr>
          <w:sz w:val="20"/>
          <w:szCs w:val="20"/>
          <w:color w:val="auto"/>
        </w:rPr>
      </w:pPr>
    </w:p>
    <w:p>
      <w:pPr>
        <w:ind w:right="80" w:firstLine="921"/>
        <w:spacing w:after="0" w:line="288" w:lineRule="auto"/>
        <w:tabs>
          <w:tab w:leader="none" w:pos="116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w:t>
      </w: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items related to acquisitions; (vi) items attributable to the business operations of any entity acquired by the Company during the Performance Period;</w:t>
      </w:r>
    </w:p>
    <w:p>
      <w:pPr>
        <w:spacing w:after="0" w:line="32" w:lineRule="exact"/>
        <w:rPr>
          <w:rFonts w:ascii="Arial" w:cs="Arial" w:eastAsia="Arial" w:hAnsi="Arial"/>
          <w:sz w:val="16"/>
          <w:szCs w:val="16"/>
          <w:color w:val="auto"/>
        </w:rPr>
      </w:pPr>
    </w:p>
    <w:p>
      <w:pPr>
        <w:ind w:right="20" w:firstLine="8"/>
        <w:spacing w:after="0" w:line="281" w:lineRule="auto"/>
        <w:tabs>
          <w:tab w:leader="none" w:pos="3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w:t>
      </w:r>
    </w:p>
    <w:p>
      <w:pPr>
        <w:spacing w:after="0" w:line="2" w:lineRule="exact"/>
        <w:rPr>
          <w:rFonts w:ascii="Arial" w:cs="Arial" w:eastAsia="Arial" w:hAnsi="Arial"/>
          <w:sz w:val="16"/>
          <w:szCs w:val="16"/>
          <w:color w:val="auto"/>
        </w:rPr>
      </w:pPr>
    </w:p>
    <w:p>
      <w:pPr>
        <w:ind w:right="60" w:firstLine="8"/>
        <w:spacing w:after="0" w:line="281" w:lineRule="auto"/>
        <w:tabs>
          <w:tab w:leader="none" w:pos="4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w:t>
      </w:r>
    </w:p>
    <w:p>
      <w:pPr>
        <w:spacing w:after="0" w:line="2" w:lineRule="exact"/>
        <w:rPr>
          <w:rFonts w:ascii="Arial" w:cs="Arial" w:eastAsia="Arial" w:hAnsi="Arial"/>
          <w:sz w:val="16"/>
          <w:szCs w:val="16"/>
          <w:color w:val="auto"/>
        </w:rPr>
      </w:pPr>
    </w:p>
    <w:p>
      <w:pPr>
        <w:ind w:right="140" w:firstLine="8"/>
        <w:spacing w:after="0" w:line="255" w:lineRule="auto"/>
        <w:tabs>
          <w:tab w:leader="none" w:pos="3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pacing w:after="0" w:line="19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2.41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Public Trading Date</w:t>
      </w:r>
      <w:r>
        <w:rPr>
          <w:rFonts w:ascii="Arial" w:cs="Arial" w:eastAsia="Arial" w:hAnsi="Arial"/>
          <w:sz w:val="18"/>
          <w:szCs w:val="18"/>
          <w:color w:val="auto"/>
        </w:rPr>
        <w:t>” shall mean the date of Listing.</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Shares awarded under Article 8 that is subject to certain restrictions and may be subject to risk of forfeiture or repurchase.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Sale</w:t>
      </w:r>
      <w:r>
        <w:rPr>
          <w:rFonts w:ascii="Arial" w:cs="Arial" w:eastAsia="Arial" w:hAnsi="Arial"/>
          <w:sz w:val="18"/>
          <w:szCs w:val="18"/>
          <w:color w:val="auto"/>
        </w:rPr>
        <w:t>” shall mean the sale of all or substantially all of the assets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2.51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Shares</w:t>
      </w:r>
      <w:r>
        <w:rPr>
          <w:rFonts w:ascii="Arial" w:cs="Arial" w:eastAsia="Arial" w:hAnsi="Arial"/>
          <w:sz w:val="18"/>
          <w:szCs w:val="18"/>
          <w:color w:val="auto"/>
        </w:rPr>
        <w:t>” shall mean ordinary shares in the capital of the Company.</w:t>
      </w:r>
    </w:p>
    <w:p>
      <w:pPr>
        <w:spacing w:after="0" w:line="225"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2.55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company that is a subsidiary of the Company within the meaning of Section 1159 of the Companies Act 2006.</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2.57 “</w:t>
      </w:r>
      <w:r>
        <w:rPr>
          <w:rFonts w:ascii="Arial" w:cs="Arial" w:eastAsia="Arial" w:hAnsi="Arial"/>
          <w:sz w:val="18"/>
          <w:szCs w:val="18"/>
          <w:u w:val="single" w:color="auto"/>
          <w:color w:val="auto"/>
        </w:rPr>
        <w:t>Takeover</w:t>
      </w:r>
      <w:r>
        <w:rPr>
          <w:rFonts w:ascii="Arial" w:cs="Arial" w:eastAsia="Arial" w:hAnsi="Arial"/>
          <w:sz w:val="18"/>
          <w:szCs w:val="18"/>
          <w:color w:val="auto"/>
        </w:rPr>
        <w:t>” shall mean if any person (or a group of persons acting in concert) (the “</w:t>
      </w:r>
      <w:r>
        <w:rPr>
          <w:rFonts w:ascii="Arial" w:cs="Arial" w:eastAsia="Arial" w:hAnsi="Arial"/>
          <w:sz w:val="18"/>
          <w:szCs w:val="18"/>
          <w:u w:val="single" w:color="auto"/>
          <w:color w:val="auto"/>
        </w:rPr>
        <w:t>Acquiring Person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as the result of making a general offer to:-</w:t>
      </w:r>
    </w:p>
    <w:p>
      <w:pPr>
        <w:spacing w:after="0" w:line="117" w:lineRule="exact"/>
        <w:rPr>
          <w:rFonts w:ascii="Arial" w:cs="Arial" w:eastAsia="Arial" w:hAnsi="Arial"/>
          <w:sz w:val="18"/>
          <w:szCs w:val="18"/>
          <w:color w:val="auto"/>
        </w:rPr>
      </w:pPr>
    </w:p>
    <w:p>
      <w:pPr>
        <w:ind w:right="300" w:firstLine="1492"/>
        <w:spacing w:after="0" w:line="277" w:lineRule="auto"/>
        <w:tabs>
          <w:tab w:leader="none" w:pos="16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which is made on a condition that, if it is satisfied, the Acquiring Person will have Control of the Company; or</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acquire all of the shares in the Company which are of the same class as the Shares; or</w:t>
      </w:r>
    </w:p>
    <w:p>
      <w:pPr>
        <w:spacing w:after="0" w:line="117"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as a result of a compromise or arrangement sanctioned by a court under Section 899 of the Companies Act 2006, or sanctioned under any other similar law of another jurisdiction; or</w:t>
      </w:r>
    </w:p>
    <w:p>
      <w:pPr>
        <w:spacing w:after="0" w:line="62" w:lineRule="exact"/>
        <w:rPr>
          <w:rFonts w:ascii="Arial" w:cs="Arial" w:eastAsia="Arial" w:hAnsi="Arial"/>
          <w:sz w:val="18"/>
          <w:szCs w:val="18"/>
          <w:color w:val="auto"/>
        </w:rPr>
      </w:pPr>
    </w:p>
    <w:p>
      <w:pPr>
        <w:ind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becomes bound or entitled under Sections 979 to 985 of the Companies Act 2006 (or similar law of another jurisdiction) to acquire shares of the same class as the Shares;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in any other way.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117" w:lineRule="exact"/>
        <w:rPr>
          <w:sz w:val="20"/>
          <w:szCs w:val="20"/>
          <w:color w:val="auto"/>
        </w:rPr>
      </w:pPr>
    </w:p>
    <w:p>
      <w:pPr>
        <w:ind w:right="6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73"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73" w:lineRule="exact"/>
        <w:rPr>
          <w:rFonts w:ascii="Arial" w:cs="Arial" w:eastAsia="Arial" w:hAnsi="Arial"/>
          <w:sz w:val="18"/>
          <w:szCs w:val="18"/>
          <w:color w:val="auto"/>
        </w:rPr>
      </w:pPr>
    </w:p>
    <w:p>
      <w:pPr>
        <w:ind w:right="60" w:firstLine="921"/>
        <w:spacing w:after="0" w:line="286" w:lineRule="auto"/>
        <w:tabs>
          <w:tab w:leader="none" w:pos="11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any Program, Award Agreement or otherwise,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74" w:right="379" w:bottom="1440" w:gutter="0" w:footer="0" w:header="0"/>
        </w:sectPr>
      </w:pPr>
    </w:p>
    <w:bookmarkStart w:id="20" w:name="page21"/>
    <w:bookmarkEnd w:id="2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an Subsidiary following any merger, sale of stock or other corporate transaction or event (including, without limitation, a spin-off).</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20" w:firstLine="921"/>
        <w:spacing w:after="0" w:line="264" w:lineRule="auto"/>
        <w:tabs>
          <w:tab w:leader="none" w:pos="11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Sections 3.1(b) and 13.2, the aggregate number of Shares which may be issued or transferred pursuant to Awards (including, without limitation, Incentive Stock Options) under the Plan is 8,800,000. Any Shares distributed pursuant to an Award may consist, in whole or in part, of authorized and unissued Shares, treasury Shares or Shares purchased on the open market.</w:t>
      </w:r>
    </w:p>
    <w:p>
      <w:pPr>
        <w:spacing w:after="0" w:line="73" w:lineRule="exact"/>
        <w:rPr>
          <w:rFonts w:ascii="Arial" w:cs="Arial" w:eastAsia="Arial" w:hAnsi="Arial"/>
          <w:sz w:val="18"/>
          <w:szCs w:val="18"/>
          <w:color w:val="auto"/>
        </w:rPr>
      </w:pPr>
    </w:p>
    <w:p>
      <w:pPr>
        <w:ind w:firstLine="921"/>
        <w:spacing w:after="0" w:line="284" w:lineRule="auto"/>
        <w:tabs>
          <w:tab w:leader="none" w:pos="11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are converted to shares of another Person in connection with a Takeover, Sale,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Option or Stock Appreciation Right;</w:t>
      </w:r>
    </w:p>
    <w:p>
      <w:pPr>
        <w:spacing w:after="0" w:line="2" w:lineRule="exact"/>
        <w:rPr>
          <w:rFonts w:ascii="Arial" w:cs="Arial" w:eastAsia="Arial" w:hAnsi="Arial"/>
          <w:sz w:val="16"/>
          <w:szCs w:val="16"/>
          <w:color w:val="auto"/>
        </w:rPr>
      </w:pPr>
    </w:p>
    <w:p>
      <w:pPr>
        <w:ind w:right="80" w:firstLine="8"/>
        <w:spacing w:after="0" w:line="270"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70" w:lineRule="exact"/>
        <w:rPr>
          <w:rFonts w:ascii="Arial" w:cs="Arial" w:eastAsia="Arial" w:hAnsi="Arial"/>
          <w:sz w:val="17"/>
          <w:szCs w:val="17"/>
          <w:color w:val="auto"/>
        </w:rPr>
      </w:pPr>
    </w:p>
    <w:p>
      <w:pPr>
        <w:ind w:right="20" w:firstLine="921"/>
        <w:spacing w:after="0" w:line="277" w:lineRule="auto"/>
        <w:tabs>
          <w:tab w:leader="none" w:pos="11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21" w:name="page22"/>
    <w:bookmarkEnd w:id="21"/>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number of Shares with respect to one or more Awards that may be granted to any one person during any calendar year shall be 1,000,000 and the maximum aggregate amount of cash that may be paid in cash to any one person during any calendar year with respect to one or more Awards payable in cash shall be $10,000,000. To the extent required by Section 162(m) of the Code, Shares subject to Awards that are cancelled shall continue to be counted against the Award Limit.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6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2" w:name="page23"/>
    <w:bookmarkEnd w:id="2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Foreign Holders</w:t>
      </w:r>
      <w:r>
        <w:rPr>
          <w:rFonts w:ascii="Arial" w:cs="Arial" w:eastAsia="Arial" w:hAnsi="Arial"/>
          <w:sz w:val="17"/>
          <w:szCs w:val="17"/>
          <w:color w:val="auto"/>
        </w:rPr>
        <w:t xml:space="preserve">.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Non-Employee Director Awards</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Notwithstanding any provision to the contrary in the Plan or in the Non-Employee Director Equity Compensation Policy, the sum of the grant date fair value of equity-based Awards and the amount of any cash-based Awards granted to a Non-Employee Director during any calendar year shall not exceed $500,000 (the “</w:t>
      </w:r>
      <w:r>
        <w:rPr>
          <w:rFonts w:ascii="Arial" w:cs="Arial" w:eastAsia="Arial" w:hAnsi="Arial"/>
          <w:sz w:val="16"/>
          <w:szCs w:val="16"/>
          <w:u w:val="single" w:color="auto"/>
          <w:color w:val="auto"/>
        </w:rPr>
        <w:t>Director Limit</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Purpose</w:t>
      </w:r>
      <w:r>
        <w:rPr>
          <w:rFonts w:ascii="Arial" w:cs="Arial" w:eastAsia="Arial" w:hAnsi="Arial"/>
          <w:sz w:val="16"/>
          <w:szCs w:val="16"/>
          <w:color w:val="auto"/>
        </w:rPr>
        <w:t>. The Administrator, in its sole discretion, may determine whether such Award is intended to qualify as Performance-Based Compensation.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The Administrator, in its sole discretion, may grant Awards to other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6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w:t>
      </w:r>
    </w:p>
    <w:p>
      <w:pPr>
        <w:spacing w:after="0" w:line="2" w:lineRule="exact"/>
        <w:rPr>
          <w:sz w:val="20"/>
          <w:szCs w:val="20"/>
          <w:color w:val="auto"/>
        </w:rPr>
      </w:pPr>
    </w:p>
    <w:p>
      <w:pPr>
        <w:ind w:firstLine="8"/>
        <w:spacing w:after="0" w:line="269" w:lineRule="auto"/>
        <w:tabs>
          <w:tab w:leader="none" w:pos="2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unless otherwise provided in an Award Agreement, the Administrator shall have the right to reduce or eliminate (but not to increase) the amount payable at a given level of performance to take into account additional factors that the Administrator may deem relevant, including the assessment of individual or corporate performance for the Performance Period.</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24" w:name="page25"/>
    <w:bookmarkEnd w:id="24"/>
    <w:p>
      <w:pPr>
        <w:ind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and Stock Appreciation Right Exercise Price</w:t>
      </w:r>
      <w:r>
        <w:rPr>
          <w:rFonts w:ascii="Arial" w:cs="Arial" w:eastAsia="Arial" w:hAnsi="Arial"/>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 424 and 409A of the Code.</w:t>
      </w:r>
    </w:p>
    <w:p>
      <w:pPr>
        <w:spacing w:after="0" w:line="1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 (10) years from the date the Option or Stock Appreciation Right, as applicable, is granted to an Eligible Individual (other than a Greater Than 10% Stockholder), or</w:t>
      </w:r>
    </w:p>
    <w:p>
      <w:pPr>
        <w:spacing w:after="0"/>
        <w:rPr>
          <w:sz w:val="20"/>
          <w:szCs w:val="20"/>
          <w:color w:val="auto"/>
        </w:rPr>
      </w:pPr>
      <w:r>
        <w:rPr>
          <w:rFonts w:ascii="Arial" w:cs="Arial" w:eastAsia="Arial" w:hAnsi="Arial"/>
          <w:sz w:val="17"/>
          <w:szCs w:val="17"/>
          <w:color w:val="auto"/>
        </w:rPr>
        <w:t>(b) five (5) years from the date an Incentive Stock Option is granted to a Greater Than 10% Stockholder. Except as limited by the requirements of</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its Fair Market Value as of the date the Stock Appreciation Right is exercised), or a combination of both, as determined by the Administrator.</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3" w:lineRule="exact"/>
        <w:rPr>
          <w:sz w:val="20"/>
          <w:szCs w:val="20"/>
          <w:color w:val="auto"/>
        </w:rPr>
      </w:pPr>
    </w:p>
    <w:p>
      <w:pPr>
        <w:ind w:right="240" w:firstLine="921"/>
        <w:spacing w:after="0" w:line="264"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73"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w:t>
      </w:r>
    </w:p>
    <w:p>
      <w:pPr>
        <w:spacing w:after="0" w:line="62"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the Option or Stock Appreciation Right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73"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Full payment of the applicable withholding taxes for the Shares with respect to which the Option or Stock Appreciation Right, or portion thereof, is exercised, and, in the case of an Option, full payment of the exercise price, in a manner permitted by the Administrator in accordance with Sections 11.1 and 11.2.</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11.1(b) or 11.1(c) and the Company or any Subsidiary shall be entitled to deduct or withhold an amount sufficient to satisfy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7" w:name="page28"/>
    <w:bookmarkEnd w:id="2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9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8" w:name="page29"/>
    <w:bookmarkEnd w:id="28"/>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splits or any other form of recapitalization) shall be subject to such restrictions and vesting requirements as the Administrator shall provide in the applicable Program or Award Agreement.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 Restricted Stock Unit award shall be set by the Administrator in its sole discretion.</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 w:name="page30"/>
    <w:bookmarkEnd w:id="29"/>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9.4 </w:t>
      </w: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calendar year in which the applicable portion of the Restricted Stock Unit vests; or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0" w:name="page31"/>
    <w:bookmarkEnd w:id="30"/>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Subsidiary shall have the authority and the right to deduct or withhold, or require a Holder to remit to the Company, an amount sufficient to satisfy any federal, state, local and foreign taxes (including the Holder’s FICA, employment tax or other social security contribution obligation) required by law to be withheld or otherwise arising with respect to any taxable event concerning a Holder arising as a result of the Plan or any Award. The Administrator may, in its sole discretion and in satisfaction of the foregoing requirement, allow a Holder to satisfy such obligations by any payment means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Section 11.1 hereof, including without limitation, by allowing such Holder to have the Company or any Subsidiary withhold Shares otherwise issuable under an Award (or allow the surrender of Shares).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(or such other number as would not result in adverse financial accounting consequences for the Company or any of its Subsidiaries).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provided in Sections 11.3(b) and 11.3(c):</w:t>
      </w:r>
    </w:p>
    <w:p>
      <w:pPr>
        <w:spacing w:after="0" w:line="117" w:lineRule="exact"/>
        <w:rPr>
          <w:rFonts w:ascii="Arial" w:cs="Arial" w:eastAsia="Arial" w:hAnsi="Arial"/>
          <w:sz w:val="18"/>
          <w:szCs w:val="18"/>
          <w:color w:val="auto"/>
        </w:rPr>
      </w:pPr>
    </w:p>
    <w:p>
      <w:pPr>
        <w:ind w:right="280" w:firstLine="1492"/>
        <w:spacing w:after="0" w:line="264" w:lineRule="auto"/>
        <w:tabs>
          <w:tab w:leader="none" w:pos="16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73" w:lineRule="exact"/>
        <w:rPr>
          <w:rFonts w:ascii="Arial" w:cs="Arial" w:eastAsia="Arial" w:hAnsi="Arial"/>
          <w:sz w:val="18"/>
          <w:szCs w:val="18"/>
          <w:color w:val="auto"/>
        </w:rPr>
      </w:pPr>
    </w:p>
    <w:p>
      <w:pPr>
        <w:ind w:right="40" w:firstLine="1492"/>
        <w:spacing w:after="0" w:line="273" w:lineRule="auto"/>
        <w:tabs>
          <w:tab w:leader="none" w:pos="1748"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70" w:lineRule="exact"/>
        <w:rPr>
          <w:rFonts w:ascii="Arial" w:cs="Arial" w:eastAsia="Arial" w:hAnsi="Arial"/>
          <w:sz w:val="17"/>
          <w:szCs w:val="17"/>
          <w:color w:val="auto"/>
        </w:rPr>
      </w:pPr>
    </w:p>
    <w:p>
      <w:pPr>
        <w:ind w:right="220" w:firstLine="1492"/>
        <w:spacing w:after="0" w:line="302" w:lineRule="auto"/>
        <w:tabs>
          <w:tab w:leader="none" w:pos="17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46" w:lineRule="exact"/>
        <w:rPr>
          <w:rFonts w:ascii="Arial" w:cs="Arial" w:eastAsia="Arial" w:hAnsi="Arial"/>
          <w:sz w:val="16"/>
          <w:szCs w:val="16"/>
          <w:color w:val="auto"/>
        </w:rPr>
      </w:pPr>
    </w:p>
    <w:p>
      <w:pPr>
        <w:jc w:val="both"/>
        <w:ind w:right="40" w:firstLine="921"/>
        <w:spacing w:after="0" w:line="264"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 w:name="page33"/>
    <w:bookmarkEnd w:id="3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11.3(a),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70" w:lineRule="exact"/>
        <w:rPr>
          <w:sz w:val="20"/>
          <w:szCs w:val="20"/>
          <w:color w:val="auto"/>
        </w:rPr>
      </w:pPr>
    </w:p>
    <w:p>
      <w:pPr>
        <w:ind w:right="100" w:firstLine="921"/>
        <w:spacing w:after="0" w:line="289" w:lineRule="auto"/>
        <w:tabs>
          <w:tab w:leader="none" w:pos="11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73" w:lineRule="auto"/>
        <w:tabs>
          <w:tab w:leader="none" w:pos="11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70" w:lineRule="exact"/>
        <w:rPr>
          <w:rFonts w:ascii="Arial" w:cs="Arial" w:eastAsia="Arial" w:hAnsi="Arial"/>
          <w:sz w:val="17"/>
          <w:szCs w:val="17"/>
          <w:color w:val="auto"/>
        </w:rPr>
      </w:pPr>
    </w:p>
    <w:p>
      <w:pPr>
        <w:ind w:right="240" w:firstLine="921"/>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62" w:lineRule="exact"/>
        <w:rPr>
          <w:sz w:val="20"/>
          <w:szCs w:val="20"/>
          <w:color w:val="auto"/>
        </w:rPr>
      </w:pPr>
    </w:p>
    <w:p>
      <w:pPr>
        <w:ind w:right="280" w:firstLine="921"/>
        <w:spacing w:after="0" w:line="342"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 w:lineRule="exact"/>
        <w:rPr>
          <w:rFonts w:ascii="Arial" w:cs="Arial" w:eastAsia="Arial" w:hAnsi="Arial"/>
          <w:sz w:val="16"/>
          <w:szCs w:val="16"/>
          <w:color w:val="auto"/>
        </w:rPr>
      </w:pPr>
    </w:p>
    <w:p>
      <w:pPr>
        <w:ind w:right="580" w:firstLine="921"/>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62" w:lineRule="exact"/>
        <w:rPr>
          <w:rFonts w:ascii="Arial" w:cs="Arial" w:eastAsia="Arial" w:hAnsi="Arial"/>
          <w:sz w:val="18"/>
          <w:szCs w:val="18"/>
          <w:color w:val="auto"/>
        </w:rPr>
      </w:pPr>
    </w:p>
    <w:p>
      <w:pPr>
        <w:ind w:firstLine="921"/>
        <w:spacing w:after="0" w:line="312"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38" w:lineRule="exact"/>
        <w:rPr>
          <w:rFonts w:ascii="Arial" w:cs="Arial" w:eastAsia="Arial" w:hAnsi="Arial"/>
          <w:sz w:val="16"/>
          <w:szCs w:val="16"/>
          <w:color w:val="auto"/>
        </w:rPr>
      </w:pPr>
    </w:p>
    <w:p>
      <w:pPr>
        <w:ind w:right="80" w:firstLine="921"/>
        <w:spacing w:after="0" w:line="264" w:lineRule="auto"/>
        <w:tabs>
          <w:tab w:leader="none" w:pos="11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Prohibition on Repricing</w:t>
      </w:r>
      <w:r>
        <w:rPr>
          <w:rFonts w:ascii="Arial" w:cs="Arial" w:eastAsia="Arial" w:hAnsi="Arial"/>
          <w:sz w:val="17"/>
          <w:szCs w:val="17"/>
          <w:color w:val="auto"/>
        </w:rPr>
        <w:t>. Subject to Section 13.2, the Administrator shall not, without the approval of the stockholders of the Company,</w:t>
      </w:r>
    </w:p>
    <w:p>
      <w:pPr>
        <w:spacing w:after="0" w:line="35" w:lineRule="exact"/>
        <w:rPr>
          <w:sz w:val="20"/>
          <w:szCs w:val="20"/>
          <w:color w:val="auto"/>
        </w:rPr>
      </w:pPr>
    </w:p>
    <w:p>
      <w:pPr>
        <w:ind w:right="20" w:firstLine="8"/>
        <w:spacing w:after="0" w:line="252"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4" w:name="page35"/>
    <w:bookmarkEnd w:id="34"/>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13.2 or 13.10).</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Administrator</w:t>
      </w:r>
      <w:r>
        <w:rPr>
          <w:rFonts w:ascii="Arial" w:cs="Arial" w:eastAsia="Arial" w:hAnsi="Arial"/>
          <w:sz w:val="16"/>
          <w:szCs w:val="16"/>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 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w:t>
      </w:r>
    </w:p>
    <w:p>
      <w:pPr>
        <w:spacing w:after="0" w:line="7" w:lineRule="exact"/>
        <w:rPr>
          <w:sz w:val="20"/>
          <w:szCs w:val="20"/>
          <w:color w:val="auto"/>
        </w:rPr>
      </w:pPr>
    </w:p>
    <w:p>
      <w:pPr>
        <w:ind w:right="240" w:firstLine="8"/>
        <w:spacing w:after="0" w:line="271" w:lineRule="auto"/>
        <w:tabs>
          <w:tab w:leader="none" w:pos="2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appointment of Committee members shall be effective upon acceptance of appointment, (b) Committee members may resign at any time by delivering written or electronic notice to the Board and (c)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(b) the Board or Committee may delegate its authority hereunder to the extent permitted by Section 12.6.</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Administrator</w:t>
      </w:r>
      <w:r>
        <w:rPr>
          <w:rFonts w:ascii="Arial" w:cs="Arial" w:eastAsia="Arial" w:hAnsi="Arial"/>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36" w:name="page37"/>
    <w:bookmarkEnd w:id="3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the Organizational Documents, any specific designation in the Plan and Applicable Law, the Administrator has the exclusive power, authority and sole discretion to:</w:t>
      </w:r>
    </w:p>
    <w:p>
      <w:pPr>
        <w:spacing w:after="0" w:line="62" w:lineRule="exact"/>
        <w:rPr>
          <w:sz w:val="20"/>
          <w:szCs w:val="20"/>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17"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17"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purchase price, any Performance Criteria or performance criteria, any reload provision,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80"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adopt, or revise any Programs, rules and regulations as it may deem necessary or advisable to administer the Plan;</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117" w:lineRule="exact"/>
        <w:rPr>
          <w:rFonts w:ascii="Arial" w:cs="Arial" w:eastAsia="Arial" w:hAnsi="Arial"/>
          <w:sz w:val="18"/>
          <w:szCs w:val="18"/>
          <w:color w:val="auto"/>
        </w:rPr>
      </w:pPr>
    </w:p>
    <w:p>
      <w:pPr>
        <w:ind w:firstLine="921"/>
        <w:spacing w:after="0" w:line="277" w:lineRule="auto"/>
        <w:tabs>
          <w:tab w:leader="none" w:pos="11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7" w:name="page38"/>
    <w:bookmarkEnd w:id="37"/>
    <w:p>
      <w:pPr>
        <w:ind w:right="380" w:firstLine="921"/>
        <w:spacing w:after="0" w:line="277"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 wholly or partially the vesting or lapse of restrictions of any Award or portion thereof at any time after the grant of an Award, subject to whatever terms and conditions it selects and Section 13.2.</w:t>
      </w:r>
    </w:p>
    <w:p>
      <w:pPr>
        <w:spacing w:after="0" w:line="17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ind w:firstLine="8"/>
        <w:spacing w:after="0" w:line="268" w:lineRule="auto"/>
        <w:tabs>
          <w:tab w:leader="none" w:pos="2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individuals who are subject to Section 16 of the Exchange Act, (b) Covered Employees with respect to Awards intended to constitute Performance Based Compensation,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9" w:lineRule="auto"/>
        <w:tabs>
          <w:tab w:leader="none" w:pos="11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78" w:lineRule="exact"/>
        <w:rPr>
          <w:rFonts w:ascii="Arial" w:cs="Arial" w:eastAsia="Arial" w:hAnsi="Arial"/>
          <w:sz w:val="18"/>
          <w:szCs w:val="18"/>
          <w:color w:val="auto"/>
        </w:rPr>
      </w:pPr>
    </w:p>
    <w:p>
      <w:pPr>
        <w:ind w:right="160" w:firstLine="921"/>
        <w:spacing w:after="0" w:line="257"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the Award Limit or the Director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8" w:name="page39"/>
    <w:bookmarkEnd w:id="38"/>
    <w:p>
      <w:pPr>
        <w:ind w:left="-80" w:right="20" w:firstLine="921"/>
        <w:spacing w:after="0" w:line="302" w:lineRule="auto"/>
        <w:tabs>
          <w:tab w:leader="none" w:pos="1078"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3"/>
          <w:szCs w:val="13"/>
          <w:color w:val="auto"/>
        </w:rPr>
        <w:t>th</w:t>
      </w:r>
      <w:r>
        <w:rPr>
          <w:rFonts w:ascii="Arial" w:cs="Arial" w:eastAsia="Arial" w:hAnsi="Arial"/>
          <w:sz w:val="16"/>
          <w:szCs w:val="16"/>
          <w:color w:val="auto"/>
        </w:rPr>
        <w:t>) anniversary of the earlier of (i) the date on which the Plan was adopted by the Board or (ii) the date the Plan was approved by the Company’s stockholders (such anniversary,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the applicable Program and the applicable Award Agreement.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Shares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ind w:left="-80" w:firstLine="921"/>
        <w:spacing w:after="0" w:line="270" w:lineRule="auto"/>
        <w:tabs>
          <w:tab w:leader="none" w:pos="1078"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69" w:lineRule="exact"/>
        <w:rPr>
          <w:rFonts w:ascii="Arial" w:cs="Arial" w:eastAsia="Arial" w:hAnsi="Arial"/>
          <w:sz w:val="17"/>
          <w:szCs w:val="17"/>
          <w:color w:val="auto"/>
        </w:rPr>
      </w:pPr>
    </w:p>
    <w:p>
      <w:pPr>
        <w:ind w:left="-80" w:right="40" w:firstLine="921"/>
        <w:spacing w:after="0" w:line="255" w:lineRule="auto"/>
        <w:tabs>
          <w:tab w:leader="none" w:pos="10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81" w:lineRule="exact"/>
        <w:rPr>
          <w:rFonts w:ascii="Arial" w:cs="Arial" w:eastAsia="Arial" w:hAnsi="Arial"/>
          <w:sz w:val="18"/>
          <w:szCs w:val="18"/>
          <w:color w:val="auto"/>
        </w:rPr>
      </w:pPr>
    </w:p>
    <w:p>
      <w:pPr>
        <w:ind w:left="-80" w:right="60" w:firstLine="1492"/>
        <w:spacing w:after="0" w:line="302" w:lineRule="auto"/>
        <w:tabs>
          <w:tab w:leader="none" w:pos="16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274" w:right="319" w:bottom="1440" w:gutter="0" w:footer="0" w:header="0"/>
        </w:sectPr>
      </w:pPr>
    </w:p>
    <w:bookmarkStart w:id="39" w:name="page40"/>
    <w:bookmarkEnd w:id="39"/>
    <w:p>
      <w:pPr>
        <w:ind w:left="-8" w:right="520" w:firstLine="1492"/>
        <w:spacing w:after="0" w:line="312" w:lineRule="auto"/>
        <w:tabs>
          <w:tab w:leader="none" w:pos="1740" w:val="left"/>
        </w:tabs>
        <w:numPr>
          <w:ilvl w:val="2"/>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38" w:lineRule="exact"/>
        <w:rPr>
          <w:rFonts w:ascii="Arial" w:cs="Arial" w:eastAsia="Arial" w:hAnsi="Arial"/>
          <w:sz w:val="16"/>
          <w:szCs w:val="16"/>
          <w:color w:val="auto"/>
        </w:rPr>
      </w:pPr>
    </w:p>
    <w:p>
      <w:pPr>
        <w:ind w:left="-8" w:right="60" w:firstLine="1492"/>
        <w:spacing w:after="0" w:line="264" w:lineRule="auto"/>
        <w:tabs>
          <w:tab w:leader="none" w:pos="179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3" w:lineRule="exact"/>
        <w:rPr>
          <w:rFonts w:ascii="Arial" w:cs="Arial" w:eastAsia="Arial" w:hAnsi="Arial"/>
          <w:sz w:val="18"/>
          <w:szCs w:val="18"/>
          <w:color w:val="auto"/>
        </w:rPr>
      </w:pPr>
    </w:p>
    <w:p>
      <w:pPr>
        <w:ind w:left="-8" w:firstLine="1492"/>
        <w:spacing w:after="0" w:line="277" w:lineRule="auto"/>
        <w:tabs>
          <w:tab w:leader="none" w:pos="17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62" w:lineRule="exact"/>
        <w:rPr>
          <w:rFonts w:ascii="Arial" w:cs="Arial" w:eastAsia="Arial" w:hAnsi="Arial"/>
          <w:sz w:val="18"/>
          <w:szCs w:val="18"/>
          <w:color w:val="auto"/>
        </w:rPr>
      </w:pPr>
    </w:p>
    <w:p>
      <w:pPr>
        <w:ind w:left="1732" w:hanging="248"/>
        <w:spacing w:after="0"/>
        <w:tabs>
          <w:tab w:leader="none" w:pos="173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92" w:hanging="308"/>
        <w:spacing w:after="0"/>
        <w:tabs>
          <w:tab w:leader="none" w:pos="179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17" w:lineRule="exact"/>
        <w:rPr>
          <w:rFonts w:ascii="Arial" w:cs="Arial" w:eastAsia="Arial" w:hAnsi="Arial"/>
          <w:sz w:val="18"/>
          <w:szCs w:val="18"/>
          <w:color w:val="auto"/>
        </w:rPr>
      </w:pPr>
    </w:p>
    <w:p>
      <w:pPr>
        <w:ind w:left="1152" w:hanging="239"/>
        <w:spacing w:after="0"/>
        <w:tabs>
          <w:tab w:leader="none" w:pos="11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140" w:lineRule="exact"/>
        <w:rPr>
          <w:rFonts w:ascii="Arial" w:cs="Arial" w:eastAsia="Arial" w:hAnsi="Arial"/>
          <w:sz w:val="16"/>
          <w:szCs w:val="16"/>
          <w:color w:val="auto"/>
        </w:rPr>
      </w:pPr>
    </w:p>
    <w:p>
      <w:pPr>
        <w:ind w:left="-8" w:right="140" w:firstLine="1492"/>
        <w:spacing w:after="0" w:line="264" w:lineRule="auto"/>
        <w:tabs>
          <w:tab w:leader="none" w:pos="169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13.2(c)(i) shall be nondiscretionary and shall be final and binding on the affected Holder and the Company); and/or</w:t>
      </w:r>
    </w:p>
    <w:p>
      <w:pPr>
        <w:spacing w:after="0" w:line="73" w:lineRule="exact"/>
        <w:rPr>
          <w:rFonts w:ascii="Arial" w:cs="Arial" w:eastAsia="Arial" w:hAnsi="Arial"/>
          <w:sz w:val="18"/>
          <w:szCs w:val="18"/>
          <w:color w:val="auto"/>
        </w:rPr>
      </w:pPr>
    </w:p>
    <w:p>
      <w:pPr>
        <w:ind w:left="-8" w:right="60" w:firstLine="1492"/>
        <w:spacing w:after="0" w:line="259" w:lineRule="auto"/>
        <w:tabs>
          <w:tab w:leader="none" w:pos="17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78" w:lineRule="exact"/>
        <w:rPr>
          <w:rFonts w:ascii="Arial" w:cs="Arial" w:eastAsia="Arial" w:hAnsi="Arial"/>
          <w:sz w:val="18"/>
          <w:szCs w:val="18"/>
          <w:color w:val="auto"/>
        </w:rPr>
      </w:pPr>
    </w:p>
    <w:p>
      <w:pPr>
        <w:ind w:left="-8" w:right="140" w:firstLine="921"/>
        <w:spacing w:after="0" w:line="286"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13.2, (A) such Award (other than any portion subject to performance-based vesting) shall continue in effect or be assumed or an equivalent Award substituted by the successor corporation or a parent or subsidiary of the successor corporation and</w:t>
      </w:r>
    </w:p>
    <w:p>
      <w:pPr>
        <w:spacing w:after="0" w:line="1" w:lineRule="exact"/>
        <w:rPr>
          <w:rFonts w:ascii="Arial" w:cs="Arial" w:eastAsia="Arial" w:hAnsi="Arial"/>
          <w:sz w:val="16"/>
          <w:szCs w:val="16"/>
          <w:color w:val="auto"/>
        </w:rPr>
      </w:pPr>
    </w:p>
    <w:p>
      <w:pPr>
        <w:ind w:left="-8" w:right="240" w:firstLine="8"/>
        <w:spacing w:after="0" w:line="261" w:lineRule="auto"/>
        <w:tabs>
          <w:tab w:leader="none" w:pos="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portion of such Award subject to performance-based vesting shall be subject to the terms and conditions of the applicable Award Agreement and, in the absence of applicable terms and conditions, the Administrator’s discretion.</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74" w:right="239" w:bottom="1440" w:gutter="0" w:footer="0" w:header="0"/>
        </w:sectPr>
      </w:pPr>
    </w:p>
    <w:bookmarkStart w:id="40" w:name="page41"/>
    <w:bookmarkEnd w:id="40"/>
    <w:p>
      <w:pPr>
        <w:ind w:left="-8" w:right="20" w:firstLine="921"/>
        <w:spacing w:after="0" w:line="285" w:lineRule="auto"/>
        <w:tabs>
          <w:tab w:leader="none" w:pos="1150"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w:t>
      </w:r>
    </w:p>
    <w:p>
      <w:pPr>
        <w:spacing w:after="0" w:line="2" w:lineRule="exact"/>
        <w:rPr>
          <w:rFonts w:ascii="Arial" w:cs="Arial" w:eastAsia="Arial" w:hAnsi="Arial"/>
          <w:sz w:val="16"/>
          <w:szCs w:val="16"/>
          <w:color w:val="auto"/>
        </w:rPr>
      </w:pPr>
    </w:p>
    <w:p>
      <w:pPr>
        <w:ind w:left="-8" w:right="120" w:firstLine="8"/>
        <w:spacing w:after="0" w:line="261"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days from the date of such notice, contingent upon the occurrence of the Change in Control, and such Award shall terminate upon the expiration of such period.</w:t>
      </w:r>
    </w:p>
    <w:p>
      <w:pPr>
        <w:spacing w:after="0" w:line="75" w:lineRule="exact"/>
        <w:rPr>
          <w:rFonts w:ascii="Arial" w:cs="Arial" w:eastAsia="Arial" w:hAnsi="Arial"/>
          <w:sz w:val="18"/>
          <w:szCs w:val="18"/>
          <w:color w:val="auto"/>
        </w:rPr>
      </w:pPr>
    </w:p>
    <w:p>
      <w:pPr>
        <w:ind w:left="-8" w:firstLine="921"/>
        <w:spacing w:after="0" w:line="271" w:lineRule="auto"/>
        <w:tabs>
          <w:tab w:leader="none" w:pos="11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w:t>
      </w:r>
    </w:p>
    <w:p>
      <w:pPr>
        <w:spacing w:after="0" w:line="70" w:lineRule="exact"/>
        <w:rPr>
          <w:rFonts w:ascii="Arial" w:cs="Arial" w:eastAsia="Arial" w:hAnsi="Arial"/>
          <w:sz w:val="17"/>
          <w:szCs w:val="17"/>
          <w:color w:val="auto"/>
        </w:rPr>
      </w:pPr>
    </w:p>
    <w:p>
      <w:pPr>
        <w:ind w:left="-8" w:right="40" w:firstLine="921"/>
        <w:spacing w:after="0" w:line="27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2" w:lineRule="exact"/>
        <w:rPr>
          <w:rFonts w:ascii="Arial" w:cs="Arial" w:eastAsia="Arial" w:hAnsi="Arial"/>
          <w:sz w:val="18"/>
          <w:szCs w:val="18"/>
          <w:color w:val="auto"/>
        </w:rPr>
      </w:pPr>
    </w:p>
    <w:p>
      <w:pPr>
        <w:ind w:left="-8" w:right="20" w:firstLine="921"/>
        <w:spacing w:after="0" w:line="25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80" w:lineRule="exact"/>
        <w:rPr>
          <w:rFonts w:ascii="Arial" w:cs="Arial" w:eastAsia="Arial" w:hAnsi="Arial"/>
          <w:sz w:val="18"/>
          <w:szCs w:val="18"/>
          <w:color w:val="auto"/>
        </w:rPr>
      </w:pPr>
    </w:p>
    <w:p>
      <w:pPr>
        <w:ind w:left="-8" w:right="80" w:firstLine="921"/>
        <w:spacing w:after="0" w:line="259"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12"/>
          </w:cols>
          <w:pgMar w:left="248" w:top="274" w:right="239" w:bottom="1440" w:gutter="0" w:footer="0" w:header="0"/>
        </w:sectPr>
      </w:pPr>
    </w:p>
    <w:bookmarkStart w:id="41" w:name="page42"/>
    <w:bookmarkEnd w:id="4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73" w:lineRule="exact"/>
        <w:rPr>
          <w:sz w:val="20"/>
          <w:szCs w:val="20"/>
          <w:color w:val="auto"/>
        </w:rPr>
      </w:pPr>
    </w:p>
    <w:p>
      <w:pPr>
        <w:ind w:firstLine="921"/>
        <w:spacing w:after="0" w:line="259"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87" w:lineRule="exact"/>
        <w:rPr>
          <w:sz w:val="20"/>
          <w:szCs w:val="20"/>
          <w:color w:val="auto"/>
        </w:rPr>
      </w:pPr>
    </w:p>
    <w:p>
      <w:pPr>
        <w:jc w:val="both"/>
        <w:ind w:right="240" w:firstLine="456"/>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shall be submitted for the approval of the Company’s stockholders within twelve (12) months after the date of the Board’s initial adoption of the Plan.</w:t>
      </w:r>
    </w:p>
    <w:p>
      <w:pPr>
        <w:spacing w:after="0" w:line="170" w:lineRule="exact"/>
        <w:rPr>
          <w:sz w:val="20"/>
          <w:szCs w:val="20"/>
          <w:color w:val="auto"/>
        </w:rPr>
      </w:pPr>
    </w:p>
    <w:p>
      <w:pPr>
        <w:jc w:val="both"/>
        <w:ind w:right="20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147"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Applicable Law.</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w:t>
      </w:r>
    </w:p>
    <w:p>
      <w:pPr>
        <w:ind w:right="60"/>
        <w:spacing w:after="0" w:line="268" w:lineRule="auto"/>
        <w:rPr>
          <w:sz w:val="20"/>
          <w:szCs w:val="20"/>
          <w:color w:val="auto"/>
        </w:rPr>
      </w:pPr>
      <w:r>
        <w:rPr>
          <w:rFonts w:ascii="Arial" w:cs="Arial" w:eastAsia="Arial" w:hAnsi="Arial"/>
          <w:sz w:val="17"/>
          <w:szCs w:val="17"/>
          <w:color w:val="auto"/>
        </w:rPr>
        <w:t>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Indemnification</w:t>
      </w:r>
      <w:r>
        <w:rPr>
          <w:rFonts w:ascii="Arial" w:cs="Arial" w:eastAsia="Arial" w:hAnsi="Arial"/>
          <w:sz w:val="18"/>
          <w:szCs w:val="18"/>
          <w:color w:val="auto"/>
        </w:rPr>
        <w:t>. To the extent permitted under Applicable Law and the Organizational Documents, each member of the Administrator shall be indemnified and 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3" w:name="page44"/>
    <w:bookmarkEnd w:id="4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74" w:right="379" w:bottom="1440" w:gutter="0" w:footer="0" w:header="0"/>
        </w:sectPr>
      </w:pPr>
    </w:p>
    <w:bookmarkStart w:id="44" w:name="page45"/>
    <w:bookmarkEnd w:id="44"/>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18954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1289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Legalinx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Fetter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EC4A 1BR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LivaNova PLC – Registration Statement on Form S-8 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3" w:right="2340" w:hanging="3"/>
        <w:spacing w:after="0" w:line="305" w:lineRule="auto"/>
        <w:tabs>
          <w:tab w:leader="none" w:pos="179" w:val="left"/>
        </w:tabs>
        <w:numPr>
          <w:ilvl w:val="0"/>
          <w:numId w:val="50"/>
        </w:numPr>
        <w:rPr>
          <w:rFonts w:ascii="Arial" w:cs="Arial" w:eastAsia="Arial" w:hAnsi="Arial"/>
          <w:sz w:val="12"/>
          <w:szCs w:val="12"/>
          <w:color w:val="auto"/>
        </w:rPr>
      </w:pPr>
      <w:r>
        <w:rPr>
          <w:rFonts w:ascii="Arial" w:cs="Arial" w:eastAsia="Arial" w:hAnsi="Arial"/>
          <w:sz w:val="12"/>
          <w:szCs w:val="12"/>
          <w:color w:val="auto"/>
        </w:rPr>
        <w:t>Bishopsgate London EC2M 3XF United Kingdom</w:t>
      </w:r>
    </w:p>
    <w:p>
      <w:pPr>
        <w:ind w:left="3" w:right="580"/>
        <w:spacing w:after="0" w:line="285" w:lineRule="auto"/>
        <w:rPr>
          <w:rFonts w:ascii="Arial" w:cs="Arial" w:eastAsia="Arial" w:hAnsi="Arial"/>
          <w:sz w:val="12"/>
          <w:szCs w:val="12"/>
          <w:color w:val="auto"/>
        </w:rPr>
      </w:pPr>
      <w:r>
        <w:rPr>
          <w:rFonts w:ascii="Arial" w:cs="Arial" w:eastAsia="Arial" w:hAnsi="Arial"/>
          <w:sz w:val="13"/>
          <w:szCs w:val="13"/>
          <w:color w:val="auto"/>
        </w:rPr>
        <w:t>Tel: +44(0)20.7710.1000 Fax: +44(0)20.7374.4460 www.lw.com</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3"/>
          <w:szCs w:val="13"/>
          <w:color w:val="auto"/>
        </w:rPr>
        <w:t>FIRM / AFFILIATE OFFICES</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Abu Dhabi</w:t>
      </w:r>
      <w:r>
        <w:rPr>
          <w:sz w:val="20"/>
          <w:szCs w:val="20"/>
          <w:color w:val="auto"/>
        </w:rPr>
        <w:tab/>
      </w:r>
      <w:r>
        <w:rPr>
          <w:rFonts w:ascii="Arial" w:cs="Arial" w:eastAsia="Arial" w:hAnsi="Arial"/>
          <w:sz w:val="12"/>
          <w:szCs w:val="12"/>
          <w:color w:val="auto"/>
        </w:rPr>
        <w:t>Milan</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Barcelona</w:t>
      </w:r>
      <w:r>
        <w:rPr>
          <w:sz w:val="20"/>
          <w:szCs w:val="20"/>
          <w:color w:val="auto"/>
        </w:rPr>
        <w:tab/>
      </w:r>
      <w:r>
        <w:rPr>
          <w:rFonts w:ascii="Arial" w:cs="Arial" w:eastAsia="Arial" w:hAnsi="Arial"/>
          <w:sz w:val="13"/>
          <w:szCs w:val="13"/>
          <w:color w:val="auto"/>
        </w:rPr>
        <w:t>Moscow</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Jersey</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1"/>
          <w:szCs w:val="11"/>
          <w:color w:val="auto"/>
        </w:rPr>
        <w:t>Tokyo</w:t>
      </w:r>
    </w:p>
    <w:p>
      <w:pPr>
        <w:spacing w:after="0" w:line="26" w:lineRule="exact"/>
        <w:rPr>
          <w:sz w:val="20"/>
          <w:szCs w:val="20"/>
          <w:color w:val="auto"/>
        </w:rPr>
      </w:pPr>
    </w:p>
    <w:p>
      <w:pPr>
        <w:ind w:left="3"/>
        <w:spacing w:after="0"/>
        <w:tabs>
          <w:tab w:leader="none" w:pos="1683"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1072" w:lineRule="exact"/>
        <w:rPr>
          <w:sz w:val="20"/>
          <w:szCs w:val="20"/>
          <w:color w:val="auto"/>
        </w:rPr>
      </w:pPr>
    </w:p>
    <w:p>
      <w:pPr>
        <w:sectPr>
          <w:pgSz w:w="11900" w:h="16838" w:orient="portrait"/>
          <w:cols w:equalWidth="0" w:num="2">
            <w:col w:w="7297" w:space="720"/>
            <w:col w:w="3403"/>
          </w:cols>
          <w:pgMar w:left="240" w:top="121" w:right="239" w:bottom="1440" w:gutter="0" w:footer="0" w:header="0"/>
          <w:type w:val="continuous"/>
        </w:sectPr>
      </w:pPr>
    </w:p>
    <w:p>
      <w:pPr>
        <w:spacing w:after="0" w:line="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We have acted as English legal advisers to LivaNova PLC, a public limited company incorporated in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w:t>
      </w:r>
    </w:p>
    <w:p>
      <w:pPr>
        <w:spacing w:after="0" w:line="67" w:lineRule="exact"/>
        <w:rPr>
          <w:sz w:val="20"/>
          <w:szCs w:val="20"/>
          <w:color w:val="auto"/>
        </w:rPr>
      </w:pPr>
    </w:p>
    <w:p>
      <w:pPr>
        <w:ind w:left="900" w:right="160" w:hanging="446"/>
        <w:spacing w:after="0" w:line="295"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the proposed merger of Sorin S.p.A., a joint stock company organised under the laws of Italy (“</w:t>
      </w:r>
      <w:r>
        <w:rPr>
          <w:rFonts w:ascii="Arial" w:cs="Arial" w:eastAsia="Arial" w:hAnsi="Arial"/>
          <w:sz w:val="16"/>
          <w:szCs w:val="16"/>
          <w:b w:val="1"/>
          <w:bCs w:val="1"/>
          <w:color w:val="auto"/>
        </w:rPr>
        <w:t>Sorin</w:t>
      </w:r>
      <w:r>
        <w:rPr>
          <w:rFonts w:ascii="Arial" w:cs="Arial" w:eastAsia="Arial" w:hAnsi="Arial"/>
          <w:sz w:val="16"/>
          <w:szCs w:val="16"/>
          <w:color w:val="auto"/>
        </w:rPr>
        <w:t>”), with and into the Company, with the Company continuing as the survivor (the “</w:t>
      </w:r>
      <w:r>
        <w:rPr>
          <w:rFonts w:ascii="Arial" w:cs="Arial" w:eastAsia="Arial" w:hAnsi="Arial"/>
          <w:sz w:val="16"/>
          <w:szCs w:val="16"/>
          <w:b w:val="1"/>
          <w:bCs w:val="1"/>
          <w:color w:val="auto"/>
        </w:rPr>
        <w:t>Sorin Merger</w:t>
      </w:r>
      <w:r>
        <w:rPr>
          <w:rFonts w:ascii="Arial" w:cs="Arial" w:eastAsia="Arial" w:hAnsi="Arial"/>
          <w:sz w:val="16"/>
          <w:szCs w:val="16"/>
          <w:color w:val="auto"/>
        </w:rPr>
        <w:t>”), and (ii) immediately following the Sorin Merger, the proposed merger of Cypher Merger Sub, Inc., a Delaware corporation and a wholly-owned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 with and into Cyberonics, Inc., a Delaware corporation (“</w:t>
      </w:r>
      <w:r>
        <w:rPr>
          <w:rFonts w:ascii="Arial" w:cs="Arial" w:eastAsia="Arial" w:hAnsi="Arial"/>
          <w:sz w:val="16"/>
          <w:szCs w:val="16"/>
          <w:b w:val="1"/>
          <w:bCs w:val="1"/>
          <w:color w:val="auto"/>
        </w:rPr>
        <w:t>Cyberonics</w:t>
      </w:r>
      <w:r>
        <w:rPr>
          <w:rFonts w:ascii="Arial" w:cs="Arial" w:eastAsia="Arial" w:hAnsi="Arial"/>
          <w:sz w:val="16"/>
          <w:szCs w:val="16"/>
          <w:color w:val="auto"/>
        </w:rPr>
        <w:t>”), with Cyberonics continuing as the survivor and a wholly-owned subsidiary of the Company (the “</w:t>
      </w:r>
      <w:r>
        <w:rPr>
          <w:rFonts w:ascii="Arial" w:cs="Arial" w:eastAsia="Arial" w:hAnsi="Arial"/>
          <w:sz w:val="16"/>
          <w:szCs w:val="16"/>
          <w:b w:val="1"/>
          <w:bCs w:val="1"/>
          <w:color w:val="auto"/>
        </w:rPr>
        <w:t>Cyberonics Merger</w:t>
      </w:r>
      <w:r>
        <w:rPr>
          <w:rFonts w:ascii="Arial" w:cs="Arial" w:eastAsia="Arial" w:hAnsi="Arial"/>
          <w:sz w:val="16"/>
          <w:szCs w:val="16"/>
          <w:color w:val="auto"/>
        </w:rPr>
        <w:t>” and, together with the Sorin Merger, the “</w:t>
      </w:r>
      <w:r>
        <w:rPr>
          <w:rFonts w:ascii="Arial" w:cs="Arial" w:eastAsia="Arial" w:hAnsi="Arial"/>
          <w:sz w:val="16"/>
          <w:szCs w:val="16"/>
          <w:b w:val="1"/>
          <w:bCs w:val="1"/>
          <w:color w:val="auto"/>
        </w:rPr>
        <w:t>Mergers</w:t>
      </w:r>
      <w:r>
        <w:rPr>
          <w:rFonts w:ascii="Arial" w:cs="Arial" w:eastAsia="Arial" w:hAnsi="Arial"/>
          <w:sz w:val="16"/>
          <w:szCs w:val="16"/>
          <w:color w:val="auto"/>
        </w:rPr>
        <w:t>”), in each case, pursuant to a definitive transaction agreement dated 23 March 2015 between Cyberonics, Sorin, the Company and Merger Sub (the “</w:t>
      </w:r>
      <w:r>
        <w:rPr>
          <w:rFonts w:ascii="Arial" w:cs="Arial" w:eastAsia="Arial" w:hAnsi="Arial"/>
          <w:sz w:val="16"/>
          <w:szCs w:val="16"/>
          <w:b w:val="1"/>
          <w:bCs w:val="1"/>
          <w:color w:val="auto"/>
        </w:rPr>
        <w:t>Transaction Agreement</w:t>
      </w:r>
      <w:r>
        <w:rPr>
          <w:rFonts w:ascii="Arial" w:cs="Arial" w:eastAsia="Arial" w:hAnsi="Arial"/>
          <w:sz w:val="16"/>
          <w:szCs w:val="16"/>
          <w:color w:val="auto"/>
        </w:rPr>
        <w:t>”); and</w:t>
      </w:r>
    </w:p>
    <w:p>
      <w:pPr>
        <w:spacing w:after="0" w:line="65"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preparation and filing of the registration statement on Form S-8 (such registration statement, including the documents incorporated by reference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set out in the Registration Statement, it is proposed that up to 11,913,623 ordinary shares of the Company each having a nominal value of £1.00 (the “</w:t>
      </w:r>
      <w:r>
        <w:rPr>
          <w:rFonts w:ascii="Arial" w:cs="Arial" w:eastAsia="Arial" w:hAnsi="Arial"/>
          <w:sz w:val="18"/>
          <w:szCs w:val="18"/>
          <w:b w:val="1"/>
          <w:bCs w:val="1"/>
          <w:color w:val="auto"/>
        </w:rPr>
        <w:t>Shares</w:t>
      </w:r>
      <w:r>
        <w:rPr>
          <w:rFonts w:ascii="Arial" w:cs="Arial" w:eastAsia="Arial" w:hAnsi="Arial"/>
          <w:sz w:val="18"/>
          <w:szCs w:val="18"/>
          <w:color w:val="auto"/>
        </w:rPr>
        <w:t>”) will be issued upon the exercise or settlement of equity awards granted under:</w:t>
      </w:r>
    </w:p>
    <w:p>
      <w:pPr>
        <w:spacing w:after="0" w:line="7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2015 Incentive Award Plan.</w:t>
      </w:r>
    </w:p>
    <w:p>
      <w:pPr>
        <w:spacing w:after="0" w:line="236" w:lineRule="exact"/>
        <w:rPr>
          <w:sz w:val="20"/>
          <w:szCs w:val="20"/>
          <w:color w:val="auto"/>
        </w:rPr>
      </w:pPr>
    </w:p>
    <w:p>
      <w:pPr>
        <w:ind w:right="340"/>
        <w:spacing w:after="0" w:line="235" w:lineRule="auto"/>
        <w:rPr>
          <w:sz w:val="20"/>
          <w:szCs w:val="20"/>
          <w:color w:val="auto"/>
        </w:rPr>
      </w:pPr>
      <w:r>
        <w:rPr>
          <w:rFonts w:ascii="Arial" w:cs="Arial" w:eastAsia="Arial" w:hAnsi="Arial"/>
          <w:sz w:val="11"/>
          <w:szCs w:val="11"/>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European lawyers. We are affiliated with the firm Latham &amp; Watkins LLP, a limited liability partnership organised under the laws of Delaware.</w:t>
      </w:r>
    </w:p>
    <w:p>
      <w:pPr>
        <w:sectPr>
          <w:pgSz w:w="11900" w:h="16838" w:orient="portrait"/>
          <w:cols w:equalWidth="0" w:num="1">
            <w:col w:w="11420"/>
          </w:cols>
          <w:pgMar w:left="240" w:top="121" w:right="239" w:bottom="1440" w:gutter="0" w:footer="0" w:header="0"/>
          <w:type w:val="continuous"/>
        </w:sectPr>
      </w:pPr>
    </w:p>
    <w:bookmarkStart w:id="45" w:name="page46"/>
    <w:bookmarkEnd w:id="45"/>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the Sub-Plan to the Company’s 2015 Incentive Award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Cyberonics 2009 Stock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Cyberonics 2005 Stock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Cyberonics Amended and Restated 1997 Stock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Cyberonics Amended and Restated 1996 Stock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Cyberonics New Employee Equity Inducement Plan,</w:t>
      </w:r>
    </w:p>
    <w:p>
      <w:pPr>
        <w:spacing w:after="0" w:line="22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Equity Plans</w:t>
      </w:r>
      <w:r>
        <w:rPr>
          <w:rFonts w:ascii="Arial" w:cs="Arial" w:eastAsia="Arial" w:hAnsi="Arial"/>
          <w:sz w:val="18"/>
          <w:szCs w:val="18"/>
          <w:color w:val="auto"/>
        </w:rPr>
        <w:t>”), and each of which has been assumed or adopted by the Company pursuant to the Transaction Agreement and/or a resolution of the Board of Directors of the Company on 14 September 2015 and/or 16 October 2015.</w:t>
      </w:r>
    </w:p>
    <w:p>
      <w:pPr>
        <w:spacing w:after="0" w:line="31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 in this regard solely from the Company.</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letter:</w:t>
      </w:r>
    </w:p>
    <w:p>
      <w:pPr>
        <w:spacing w:after="0" w:line="131" w:lineRule="exact"/>
        <w:rPr>
          <w:sz w:val="20"/>
          <w:szCs w:val="20"/>
          <w:color w:val="auto"/>
        </w:rPr>
      </w:pPr>
    </w:p>
    <w:p>
      <w:pPr>
        <w:ind w:left="900" w:right="2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 of issuing this letter, we have reviewed only the following documents and conducted only the following enquiries and searches:</w:t>
      </w:r>
    </w:p>
    <w:p>
      <w:pPr>
        <w:spacing w:after="0" w:line="14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online search at Companies House in respect of information available for inspection about the Company conducted on 16 October 2015;</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enquiry by telephone at the Central Index of Winding Up Petitions, London on 16 October 2015 at 10:30 a.m. (London time) ((a) and</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16"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copies of the minutes of the meetings of the board of directors of the Company held on 20 February 2015, 17 April 2015, 20 April 2015 and 29 April 2015, 23 June 2015, 17 July 2015, 20 July 2015, 11 September 2015 and 14 September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9" w:right="239" w:bottom="1440" w:gutter="0" w:footer="0" w:header="0"/>
        </w:sectPr>
      </w:pPr>
    </w:p>
    <w:bookmarkStart w:id="46" w:name="page47"/>
    <w:bookmarkEnd w:id="46"/>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written resolutions of the board of directors of the Company dated 12 October 2015 and 16 October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written resolutions of the shareholders of the Company passed on 17 April 2015 and 23 June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copy of the minutes of the shareholders’ meetings of the Company held on 17 July 2015 and 16 October 2015;</w:t>
      </w:r>
    </w:p>
    <w:p>
      <w:pPr>
        <w:spacing w:after="0" w:line="130"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copies of the certificate of incorporation of the Company dated 20 February 2015, the certificate of incorporation on re-registration as a public limited company dated 17 April 2015 and the certificate on change of the Company’s name dated 23 June 2015;</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Company and a copy of the articles of association of the Company proposed to be adopted upon completion of the Mergers;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draft copy of the Registration Statement, as at 15 October 2015, to be dated 19 October 2015, and to be filed with the SEC on 16 October 2015.</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87" w:lineRule="exact"/>
        <w:rPr>
          <w:sz w:val="20"/>
          <w:szCs w:val="20"/>
          <w:color w:val="auto"/>
        </w:rPr>
      </w:pPr>
    </w:p>
    <w:p>
      <w:pPr>
        <w:ind w:left="900" w:right="1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121" w:lineRule="exact"/>
        <w:rPr>
          <w:sz w:val="20"/>
          <w:szCs w:val="20"/>
          <w:color w:val="auto"/>
        </w:rPr>
      </w:pPr>
    </w:p>
    <w:p>
      <w:pPr>
        <w:ind w:left="460" w:right="220"/>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Opinions</w:t>
      </w:r>
      <w:r>
        <w:rPr>
          <w:rFonts w:ascii="Arial" w:cs="Arial" w:eastAsia="Arial" w:hAnsi="Arial"/>
          <w:sz w:val="17"/>
          <w:szCs w:val="17"/>
          <w:color w:val="auto"/>
        </w:rPr>
        <w:t>) below and do not extend, and should not be read as extending, by implication or otherwise, to any other matters.</w:t>
      </w:r>
    </w:p>
    <w:p>
      <w:pPr>
        <w:spacing w:after="0" w:line="31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130" w:lineRule="exact"/>
        <w:rPr>
          <w:rFonts w:ascii="Arial" w:cs="Arial" w:eastAsia="Arial" w:hAnsi="Arial"/>
          <w:sz w:val="18"/>
          <w:szCs w:val="18"/>
          <w:color w:val="auto"/>
        </w:rPr>
      </w:pPr>
    </w:p>
    <w:p>
      <w:pPr>
        <w:ind w:left="900" w:right="180" w:hanging="446"/>
        <w:spacing w:after="0" w:line="30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actions, consents or orders necessary to implement the Sorin Merger pursuant to the Directive on Cross-Border Mergers of Limited Liability Companies (2005/56/EC) of the European Parliament and the Council of the European Union and, in the case of the Company, the Companies (Cross-Border Mergers) Regulations 2007, as amended, and, in the case of Sorin, Articles 2501ff of the Italian Civil Code and the Italian Legislative Decree 30 May 2008, No. 108 having been taken, received or made, as applicable, and the Sorin Merger having become effective;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79" w:right="239" w:bottom="1440" w:gutter="0" w:footer="0" w:header="0"/>
        </w:sectPr>
      </w:pPr>
    </w:p>
    <w:bookmarkStart w:id="47" w:name="page48"/>
    <w:bookmarkEnd w:id="47"/>
    <w:p>
      <w:pPr>
        <w:ind w:left="446" w:right="340" w:hanging="446"/>
        <w:spacing w:after="0" w:line="308" w:lineRule="auto"/>
        <w:tabs>
          <w:tab w:leader="none" w:pos="446"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all actions, consents or orders necessary to implement the Cyberonics Merger in accordance with the General Companies Law of the State of Delaware having been taken, received or made, as applicable, and the Cyberonics Merger having become effective;</w:t>
      </w:r>
    </w:p>
    <w:p>
      <w:pPr>
        <w:spacing w:after="0" w:line="51" w:lineRule="exact"/>
        <w:rPr>
          <w:rFonts w:ascii="Arial" w:cs="Arial" w:eastAsia="Arial" w:hAnsi="Arial"/>
          <w:sz w:val="17"/>
          <w:szCs w:val="17"/>
          <w:color w:val="auto"/>
        </w:rPr>
      </w:pPr>
    </w:p>
    <w:p>
      <w:pPr>
        <w:ind w:left="446" w:right="20" w:hanging="446"/>
        <w:spacing w:after="0" w:line="293" w:lineRule="auto"/>
        <w:tabs>
          <w:tab w:leader="none" w:pos="4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in general meeting, or within the Company’s articles of association, duly and validly having resolved (i) as an ordinary resolution, or within the Company’s articles of association, to authorise the board of directors of the Company pursuant to section 551 of the Companies Act 2006 (the “</w:t>
      </w:r>
      <w:r>
        <w:rPr>
          <w:rFonts w:ascii="Arial" w:cs="Arial" w:eastAsia="Arial" w:hAnsi="Arial"/>
          <w:sz w:val="16"/>
          <w:szCs w:val="16"/>
          <w:b w:val="1"/>
          <w:bCs w:val="1"/>
          <w:color w:val="auto"/>
        </w:rPr>
        <w:t>Companies Act</w:t>
      </w:r>
      <w:r>
        <w:rPr>
          <w:rFonts w:ascii="Arial" w:cs="Arial" w:eastAsia="Arial" w:hAnsi="Arial"/>
          <w:sz w:val="16"/>
          <w:szCs w:val="16"/>
          <w:color w:val="auto"/>
        </w:rPr>
        <w:t>”) to allot Shares, or to grant rights to subscribe for Shares, pursuant to the Equity Plans,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70" w:lineRule="exact"/>
        <w:rPr>
          <w:rFonts w:ascii="Arial" w:cs="Arial" w:eastAsia="Arial" w:hAnsi="Arial"/>
          <w:sz w:val="16"/>
          <w:szCs w:val="16"/>
          <w:color w:val="auto"/>
        </w:rPr>
      </w:pPr>
    </w:p>
    <w:p>
      <w:pPr>
        <w:ind w:left="446" w:right="180" w:hanging="446"/>
        <w:spacing w:after="0" w:line="264"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directors of the Company having validly resolved to allot the Shares, or grant rights to subscribe for Shares, at a duly convened and quorate meeting of the board of directors of the Company and such board resolutions being in full force and effect and not having been rescinded or amended;</w:t>
      </w:r>
    </w:p>
    <w:p>
      <w:pPr>
        <w:spacing w:after="0" w:line="86" w:lineRule="exact"/>
        <w:rPr>
          <w:rFonts w:ascii="Arial" w:cs="Arial" w:eastAsia="Arial" w:hAnsi="Arial"/>
          <w:sz w:val="18"/>
          <w:szCs w:val="18"/>
          <w:color w:val="auto"/>
        </w:rPr>
      </w:pPr>
    </w:p>
    <w:p>
      <w:pPr>
        <w:ind w:left="446" w:right="120" w:hanging="446"/>
        <w:spacing w:after="0" w:line="257"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relevant Equity Plan are duly authorised by all necessary corporate action and duly granted or awarded and exercised in accordance with the requirements of law, the Company’s articles of association and the relevant Equity Plan (and the agreements and awards duly adopted thereunder and in accordance therewith); and</w:t>
      </w:r>
    </w:p>
    <w:p>
      <w:pPr>
        <w:spacing w:after="0" w:line="93" w:lineRule="exact"/>
        <w:rPr>
          <w:rFonts w:ascii="Arial" w:cs="Arial" w:eastAsia="Arial" w:hAnsi="Arial"/>
          <w:sz w:val="18"/>
          <w:szCs w:val="18"/>
          <w:color w:val="auto"/>
        </w:rPr>
      </w:pPr>
    </w:p>
    <w:p>
      <w:pPr>
        <w:ind w:left="446" w:hanging="446"/>
        <w:spacing w:after="0"/>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ind w:left="6"/>
        <w:spacing w:after="0" w:line="279" w:lineRule="auto"/>
        <w:rPr>
          <w:sz w:val="20"/>
          <w:szCs w:val="20"/>
          <w:color w:val="auto"/>
        </w:rPr>
      </w:pPr>
      <w:r>
        <w:rPr>
          <w:rFonts w:ascii="Arial" w:cs="Arial" w:eastAsia="Arial" w:hAnsi="Arial"/>
          <w:sz w:val="17"/>
          <w:szCs w:val="17"/>
          <w:color w:val="auto"/>
        </w:rPr>
        <w:t>it is our opinion that the Shares, if and when issued, registered in the name of the recipient in the register of members of the Company and delivered in accordance with the terms of the Transaction Agreement and the terms and conditions referred to above and/or the Equity Plans,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0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679" w:right="279" w:bottom="1440" w:gutter="0" w:footer="0" w:header="0"/>
        </w:sectPr>
      </w:pPr>
    </w:p>
    <w:bookmarkStart w:id="48" w:name="page49"/>
    <w:bookmarkEnd w:id="48"/>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EXTENT OF OPINIONS</w:t>
      </w:r>
    </w:p>
    <w:p>
      <w:pPr>
        <w:spacing w:after="0" w:line="121" w:lineRule="exact"/>
        <w:rPr>
          <w:rFonts w:ascii="Arial" w:cs="Arial" w:eastAsia="Arial" w:hAnsi="Arial"/>
          <w:sz w:val="18"/>
          <w:szCs w:val="18"/>
          <w:color w:val="auto"/>
        </w:rPr>
      </w:pPr>
    </w:p>
    <w:p>
      <w:pPr>
        <w:ind w:left="460" w:right="200"/>
        <w:spacing w:after="0" w:line="342" w:lineRule="auto"/>
        <w:rPr>
          <w:rFonts w:ascii="Arial" w:cs="Arial" w:eastAsia="Arial" w:hAnsi="Arial"/>
          <w:sz w:val="18"/>
          <w:szCs w:val="18"/>
          <w:color w:val="auto"/>
        </w:rPr>
      </w:pPr>
      <w:r>
        <w:rPr>
          <w:rFonts w:ascii="Arial" w:cs="Arial" w:eastAsia="Arial" w:hAnsi="Arial"/>
          <w:sz w:val="16"/>
          <w:szCs w:val="16"/>
          <w:color w:val="auto"/>
        </w:rPr>
        <w:t>We express no opinion as to any agreement, instrument or other document other than as specified in this letter or as to any liability to tax which may arise or be suffered as a result of or in connection with the transactions contemplated by the Transaction Agreement or the Equity Plans.</w:t>
      </w:r>
    </w:p>
    <w:p>
      <w:pPr>
        <w:spacing w:after="0" w:line="15" w:lineRule="exact"/>
        <w:rPr>
          <w:rFonts w:ascii="Arial" w:cs="Arial" w:eastAsia="Arial" w:hAnsi="Arial"/>
          <w:sz w:val="18"/>
          <w:szCs w:val="18"/>
          <w:color w:val="auto"/>
        </w:rPr>
      </w:pPr>
    </w:p>
    <w:p>
      <w:pPr>
        <w:ind w:left="460" w:right="80"/>
        <w:spacing w:after="0" w:line="312" w:lineRule="auto"/>
        <w:rPr>
          <w:rFonts w:ascii="Arial" w:cs="Arial" w:eastAsia="Arial" w:hAnsi="Arial"/>
          <w:sz w:val="18"/>
          <w:szCs w:val="18"/>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9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DISCLOSURE AND RELIANCE</w:t>
      </w:r>
    </w:p>
    <w:p>
      <w:pPr>
        <w:spacing w:after="0" w:line="121"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73"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272665"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726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553" w:right="31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SCHEDULE 1</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131" w:lineRule="exact"/>
        <w:rPr>
          <w:sz w:val="20"/>
          <w:szCs w:val="20"/>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the proposed articles of association of the Company examined by us are adopted without amendment prior to the first date of allotment and issue of any of the Shares, or the grant of rights to subscribe for any of the Shares (each such date on which Shares are allotted or issued, or rights are granted to subscribe for Shares, being an “</w:t>
      </w:r>
      <w:r>
        <w:rPr>
          <w:rFonts w:ascii="Arial" w:cs="Arial" w:eastAsia="Arial" w:hAnsi="Arial"/>
          <w:sz w:val="18"/>
          <w:szCs w:val="18"/>
          <w:b w:val="1"/>
          <w:bCs w:val="1"/>
          <w:color w:val="auto"/>
        </w:rPr>
        <w:t>Allotment Date</w:t>
      </w:r>
      <w:r>
        <w:rPr>
          <w:rFonts w:ascii="Arial" w:cs="Arial" w:eastAsia="Arial" w:hAnsi="Arial"/>
          <w:sz w:val="18"/>
          <w:szCs w:val="18"/>
          <w:color w:val="auto"/>
        </w:rPr>
        <w:t>”) and no alteration has been made or will be made to such articles of association prior to any Allotment Date;</w:t>
      </w:r>
    </w:p>
    <w:p>
      <w:pPr>
        <w:spacing w:after="0" w:line="92" w:lineRule="exact"/>
        <w:rPr>
          <w:rFonts w:ascii="Arial" w:cs="Arial" w:eastAsia="Arial" w:hAnsi="Arial"/>
          <w:sz w:val="18"/>
          <w:szCs w:val="18"/>
          <w:color w:val="auto"/>
        </w:rPr>
      </w:pPr>
    </w:p>
    <w:p>
      <w:pPr>
        <w:ind w:left="900" w:right="260" w:hanging="446"/>
        <w:spacing w:after="0" w:line="31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Companies Registration Office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52" w:lineRule="exact"/>
        <w:rPr>
          <w:rFonts w:ascii="Arial" w:cs="Arial" w:eastAsia="Arial" w:hAnsi="Arial"/>
          <w:sz w:val="16"/>
          <w:szCs w:val="16"/>
          <w:color w:val="auto"/>
        </w:rPr>
      </w:pPr>
    </w:p>
    <w:p>
      <w:pPr>
        <w:ind w:left="900" w:right="80" w:hanging="446"/>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that the proceedings and resolutions described in the minutes of the meetings of the board of directors of the Company provided to us in connection with the giving of this opinion and of the meetings of the board of the directors referred to at paragraph 2(e) of this letter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72" w:lineRule="exact"/>
        <w:rPr>
          <w:rFonts w:ascii="Arial" w:cs="Arial" w:eastAsia="Arial" w:hAnsi="Arial"/>
          <w:sz w:val="16"/>
          <w:szCs w:val="16"/>
          <w:color w:val="auto"/>
        </w:rPr>
      </w:pPr>
    </w:p>
    <w:p>
      <w:pPr>
        <w:ind w:left="900" w:hanging="446"/>
        <w:spacing w:after="0" w:line="25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the resolutions of the shareholders of the Company provided to us in connection with the giving of this opinion and of the shareholders of the Company as referred to at paragraph 2(d) of this letter were and/or will be duly passed as written resolutions of the Company, all constitutional, statutory and other formalities were and/or will be observed and such resolutions have not been and/or will not be revoked or varied and will not be revoked or varied prior to each Allotment Date and remain in full force and effect and will remain in full force and effect as at each Allotment Date;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21" w:right="259" w:bottom="1440" w:gutter="0" w:footer="0" w:header="0"/>
        </w:sectPr>
      </w:pPr>
    </w:p>
    <w:bookmarkStart w:id="50" w:name="page51"/>
    <w:bookmarkEnd w:id="50"/>
    <w:p>
      <w:pPr>
        <w:ind w:left="446" w:hanging="446"/>
        <w:spacing w:after="0" w:line="259"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92" w:lineRule="exact"/>
        <w:rPr>
          <w:rFonts w:ascii="Arial" w:cs="Arial" w:eastAsia="Arial" w:hAnsi="Arial"/>
          <w:sz w:val="18"/>
          <w:szCs w:val="18"/>
          <w:color w:val="auto"/>
        </w:rPr>
      </w:pPr>
    </w:p>
    <w:p>
      <w:pPr>
        <w:jc w:val="both"/>
        <w:ind w:left="446" w:right="120" w:hanging="446"/>
        <w:spacing w:after="0" w:line="259"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relation to any allotment and issue of any Shares by the Company pursuant to the Equity Plans, that the recipient will have become entitled to such Shares under the terms of the relevant Equity Plan such Shares will, where applicable, be fully vested each in accordance with the terms of the relevant Equity Plan and such recipient has or will have complied with all other requirements of the relevant Equity Plan in connection with the allotment and issue of such Shares;</w:t>
      </w:r>
    </w:p>
    <w:p>
      <w:pPr>
        <w:spacing w:after="0" w:line="92"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all awards have been made under the terms of the relevant Equity Plan, that the terms of all awards have not material deviated from the terms set out in the relevant Equity Plan and that any Shares will be allotted and issued in accordance with the terms set out in the relevant Equity Plan and in accordance with the Company’s articles of association;</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the Equity Plans have been validly adopted and no alteration has been or shall be made to the Equity Plans since the date of adoption;</w:t>
      </w:r>
    </w:p>
    <w:p>
      <w:pPr>
        <w:spacing w:after="0" w:line="129" w:lineRule="exact"/>
        <w:rPr>
          <w:sz w:val="20"/>
          <w:szCs w:val="20"/>
          <w:color w:val="auto"/>
        </w:rPr>
      </w:pPr>
    </w:p>
    <w:p>
      <w:pPr>
        <w:ind w:left="466" w:right="40"/>
        <w:spacing w:after="0" w:line="297" w:lineRule="auto"/>
        <w:rPr>
          <w:sz w:val="20"/>
          <w:szCs w:val="20"/>
          <w:color w:val="auto"/>
        </w:rPr>
      </w:pPr>
      <w:r>
        <w:rPr>
          <w:rFonts w:ascii="Arial" w:cs="Arial" w:eastAsia="Arial" w:hAnsi="Arial"/>
          <w:sz w:val="16"/>
          <w:szCs w:val="16"/>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64" w:lineRule="exact"/>
        <w:rPr>
          <w:sz w:val="20"/>
          <w:szCs w:val="20"/>
          <w:color w:val="auto"/>
        </w:rPr>
      </w:pPr>
    </w:p>
    <w:p>
      <w:pPr>
        <w:ind w:left="446" w:right="120" w:hanging="446"/>
        <w:spacing w:after="0" w:line="264"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in relation to the allotment and issuance of Shares pursuant to the Sub-Plan to the Company’s 2015 Incentive Award Plan or otherwise to an employee benefit trust, that such Shares will be allotted and issued in accordance with the terms of the relevant Equity Plan, the Company’s articles of association and the requirements of all applicable laws;</w:t>
      </w:r>
    </w:p>
    <w:p>
      <w:pPr>
        <w:spacing w:after="0" w:line="86" w:lineRule="exact"/>
        <w:rPr>
          <w:rFonts w:ascii="Arial" w:cs="Arial" w:eastAsia="Arial" w:hAnsi="Arial"/>
          <w:sz w:val="18"/>
          <w:szCs w:val="18"/>
          <w:color w:val="auto"/>
        </w:rPr>
      </w:pPr>
    </w:p>
    <w:p>
      <w:pPr>
        <w:ind w:left="446" w:right="320" w:hanging="446"/>
        <w:spacing w:after="0" w:line="277"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pounds sterling or equivalent in any other currency);</w:t>
      </w:r>
    </w:p>
    <w:p>
      <w:pPr>
        <w:spacing w:after="0" w:line="75" w:lineRule="exact"/>
        <w:rPr>
          <w:rFonts w:ascii="Arial" w:cs="Arial" w:eastAsia="Arial" w:hAnsi="Arial"/>
          <w:sz w:val="18"/>
          <w:szCs w:val="18"/>
          <w:color w:val="auto"/>
        </w:rPr>
      </w:pPr>
    </w:p>
    <w:p>
      <w:pPr>
        <w:ind w:left="446" w:right="80" w:hanging="446"/>
        <w:spacing w:after="0" w:line="302" w:lineRule="auto"/>
        <w:tabs>
          <w:tab w:leader="none" w:pos="4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that no Shares or rights to subscribe for Shares have been or shall be offered to the public in the United Kingdom in breach of the Financial Services and Markets Act 2000 (“</w:t>
      </w:r>
      <w:r>
        <w:rPr>
          <w:rFonts w:ascii="Arial" w:cs="Arial" w:eastAsia="Arial" w:hAnsi="Arial"/>
          <w:sz w:val="16"/>
          <w:szCs w:val="16"/>
          <w:b w:val="1"/>
          <w:bCs w:val="1"/>
          <w:color w:val="auto"/>
        </w:rPr>
        <w:t>FSMA</w:t>
      </w:r>
      <w:r>
        <w:rPr>
          <w:rFonts w:ascii="Arial" w:cs="Arial" w:eastAsia="Arial" w:hAnsi="Arial"/>
          <w:sz w:val="16"/>
          <w:szCs w:val="16"/>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8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6"/>
          </w:cols>
          <w:pgMar w:left="694" w:top="679" w:right="259" w:bottom="1440" w:gutter="0" w:footer="0" w:header="0"/>
        </w:sectPr>
      </w:pPr>
    </w:p>
    <w:bookmarkStart w:id="51" w:name="page52"/>
    <w:bookmarkEnd w:id="51"/>
    <w:p>
      <w:pPr>
        <w:jc w:val="both"/>
        <w:ind w:left="446" w:right="260" w:hanging="446"/>
        <w:spacing w:after="0" w:line="257"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that any Shares that are allotted and/or issued will be admitted to listing on the Official List of the UK Financial Authority pursuant to and in accordance with the listing rules of the UK Financial Conduct Authority (the “</w:t>
      </w:r>
      <w:r>
        <w:rPr>
          <w:rFonts w:ascii="Arial" w:cs="Arial" w:eastAsia="Arial" w:hAnsi="Arial"/>
          <w:sz w:val="18"/>
          <w:szCs w:val="18"/>
          <w:b w:val="1"/>
          <w:bCs w:val="1"/>
          <w:color w:val="auto"/>
        </w:rPr>
        <w:t>Listing Rules</w:t>
      </w:r>
      <w:r>
        <w:rPr>
          <w:rFonts w:ascii="Arial" w:cs="Arial" w:eastAsia="Arial" w:hAnsi="Arial"/>
          <w:sz w:val="18"/>
          <w:szCs w:val="18"/>
          <w:color w:val="auto"/>
        </w:rPr>
        <w:t>”) and to trading on the main market of London Stock Exchange plc (together, “</w:t>
      </w:r>
      <w:r>
        <w:rPr>
          <w:rFonts w:ascii="Arial" w:cs="Arial" w:eastAsia="Arial" w:hAnsi="Arial"/>
          <w:sz w:val="18"/>
          <w:szCs w:val="18"/>
          <w:b w:val="1"/>
          <w:bCs w:val="1"/>
          <w:color w:val="auto"/>
        </w:rPr>
        <w:t>Admission</w:t>
      </w:r>
      <w:r>
        <w:rPr>
          <w:rFonts w:ascii="Arial" w:cs="Arial" w:eastAsia="Arial" w:hAnsi="Arial"/>
          <w:sz w:val="18"/>
          <w:szCs w:val="18"/>
          <w:color w:val="auto"/>
        </w:rPr>
        <w:t>”) and such allotment and/or issue will comply in all respects with the requirements of the Listing Rules. Any such Admission will not require the publication of a prospectus pursuant to the FSMA and the UK Financial Conduct Authority’s prospectus rules;</w:t>
      </w:r>
    </w:p>
    <w:p>
      <w:pPr>
        <w:spacing w:after="0" w:line="93"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and administering the Equity Plans, the Company is not carrying on a regulated activity for the purposes of section 19 of FSMA;</w:t>
      </w:r>
    </w:p>
    <w:p>
      <w:pPr>
        <w:spacing w:after="0" w:line="75" w:lineRule="exact"/>
        <w:rPr>
          <w:rFonts w:ascii="Arial" w:cs="Arial" w:eastAsia="Arial" w:hAnsi="Arial"/>
          <w:sz w:val="18"/>
          <w:szCs w:val="18"/>
          <w:color w:val="auto"/>
        </w:rPr>
      </w:pPr>
    </w:p>
    <w:p>
      <w:pPr>
        <w:jc w:val="both"/>
        <w:ind w:left="446" w:right="60" w:hanging="446"/>
        <w:spacing w:after="0" w:line="264"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Plans will be consistent with all such laws and regulations;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the Equity Plans have the same meaning and effect as if they were governed by English law;</w:t>
      </w:r>
    </w:p>
    <w:p>
      <w:pPr>
        <w:spacing w:after="0" w:line="130" w:lineRule="exact"/>
        <w:rPr>
          <w:rFonts w:ascii="Arial" w:cs="Arial" w:eastAsia="Arial" w:hAnsi="Arial"/>
          <w:sz w:val="18"/>
          <w:szCs w:val="18"/>
          <w:color w:val="auto"/>
        </w:rPr>
      </w:pPr>
    </w:p>
    <w:p>
      <w:pPr>
        <w:jc w:val="both"/>
        <w:ind w:left="446" w:hanging="446"/>
        <w:spacing w:after="0" w:line="279" w:lineRule="auto"/>
        <w:tabs>
          <w:tab w:leader="none" w:pos="4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that the Transaction Agreement, the Equity Plans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Transaction Agreement and the Equity Plans and the allotment and issue of the Shares will promote the success of the Company for the benefit of its members as a whole; and</w:t>
      </w:r>
    </w:p>
    <w:p>
      <w:pPr>
        <w:spacing w:after="0" w:line="76" w:lineRule="exact"/>
        <w:rPr>
          <w:rFonts w:ascii="Arial" w:cs="Arial" w:eastAsia="Arial" w:hAnsi="Arial"/>
          <w:sz w:val="17"/>
          <w:szCs w:val="17"/>
          <w:color w:val="auto"/>
        </w:rPr>
      </w:pPr>
    </w:p>
    <w:p>
      <w:pPr>
        <w:ind w:left="446" w:right="180" w:hanging="446"/>
        <w:spacing w:after="0" w:line="254"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w:t>
      </w:r>
    </w:p>
    <w:p>
      <w:pPr>
        <w:spacing w:after="0" w:line="125"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6"/>
          </w:cols>
          <w:pgMar w:left="694" w:top="679" w:right="3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277620" cy="85725"/>
                    </a:xfrm>
                    <a:prstGeom prst="rect">
                      <a:avLst/>
                    </a:prstGeom>
                    <a:noFill/>
                  </pic:spPr>
                </pic:pic>
              </a:graphicData>
            </a:graphic>
          </wp:anchor>
        </w:drawing>
        <w:t>SCHEDULE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131" w:lineRule="exact"/>
        <w:rPr>
          <w:sz w:val="20"/>
          <w:szCs w:val="20"/>
          <w:color w:val="auto"/>
        </w:rPr>
      </w:pPr>
    </w:p>
    <w:p>
      <w:pPr>
        <w:ind w:left="900" w:right="16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86" w:lineRule="exact"/>
        <w:rPr>
          <w:rFonts w:ascii="Arial" w:cs="Arial" w:eastAsia="Arial" w:hAnsi="Arial"/>
          <w:sz w:val="18"/>
          <w:szCs w:val="18"/>
          <w:color w:val="auto"/>
        </w:rPr>
      </w:pPr>
    </w:p>
    <w:p>
      <w:pPr>
        <w:ind w:left="900" w:right="80" w:hanging="446"/>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17"/>
          <w:szCs w:val="17"/>
          <w:i w:val="1"/>
          <w:iCs w:val="1"/>
          <w:color w:val="auto"/>
        </w:rPr>
        <w:t>co-operation between courts exercising jurisdiction in relation to insolvency</w:t>
      </w:r>
      <w:r>
        <w:rPr>
          <w:rFonts w:ascii="Arial" w:cs="Arial" w:eastAsia="Arial" w:hAnsi="Arial"/>
          <w:sz w:val="17"/>
          <w:szCs w:val="17"/>
          <w:color w:val="auto"/>
        </w:rPr>
        <w:t>) to assist the courts having the corresponding jurisdiction in any part of the United Kingdom or any relevant country or territory;</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130"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express no opinion on the compliance of the Equity Plans, or the compliance of any award made under the Equity Plans, with the rules or regulations of the NASDAQ Stock Market LLC, the London Stock Exchange plc, the Listing Rules or the rules or regulations of any other securities exchange that are applicable to the Company;</w:t>
      </w:r>
    </w:p>
    <w:p>
      <w:pPr>
        <w:spacing w:after="0" w:line="86"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express no opinion in relation to the legality, enforceability or validity of the Equity Plans or any award agreement entered into pursuant to such Equity Plans. In particular, but without prejudice to the generality of the foregoing, we have assumed that the Shares to be allotted under the Equity Plans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83" w:lineRule="exact"/>
        <w:rPr>
          <w:rFonts w:ascii="Arial" w:cs="Arial" w:eastAsia="Arial" w:hAnsi="Arial"/>
          <w:sz w:val="17"/>
          <w:szCs w:val="17"/>
          <w:color w:val="auto"/>
        </w:rPr>
      </w:pPr>
    </w:p>
    <w:p>
      <w:pPr>
        <w:ind w:left="900" w:right="20" w:hanging="446"/>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any award of Restricted Stock Units under the Company’s 2015 Incentive Award Plan or the Sub-Plan to the Company’s 2015 Incentive Award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76" w:lineRule="exact"/>
        <w:rPr>
          <w:rFonts w:ascii="Arial" w:cs="Arial" w:eastAsia="Arial" w:hAnsi="Arial"/>
          <w:sz w:val="17"/>
          <w:szCs w:val="17"/>
          <w:color w:val="auto"/>
        </w:rPr>
      </w:pPr>
    </w:p>
    <w:p>
      <w:pPr>
        <w:jc w:val="both"/>
        <w:ind w:left="900" w:right="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53" w:right="2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ACCOUNTANTS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LivaNova PLC of our report dated April 16, 2015 relating to the consolidated financial statements of Sorin SpA and its subsidiaries, which appears in LivaNova PLC’s prospectus dated August 21, 2015, filed pursuant to Rule 424(b) of the Securities Act, relating to the Registration Statement on Form S-4 (No. 333-203510).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of LivaNova PLC on Form S-8 to be dated October 19, 2015 pertaining to the Livanova plc 2015 incentive award plan, Livanova plc employee benefit trust, Cyberonics, inc. 2009 stock plan, Cyberonics, inc. 2005 stock plan, Cyberonics, inc. amended and restated 1997 stock plan, Cyberonics, inc. amended and restated 1996 stock plan Cyberonics, inc. new employee equity inducement plan of our report dated April 16, 2015, with respect to the consolidated statements of Sorin S.p.A. and subsidiaries for the year ended December 31, 2012, included in the Registration Statement Form S-4 (No. 333-203510) of LivaNova PLC.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Reconta Ernst &amp; Young 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Cyberonics, Inc.:</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use of our reports dated June 15, 2015, with respect to the consolidated balance sheets of Cyberonics, Inc. as of April 24, 2015 and April 25, 2014, and the related consolidated statements of earnings, stockholders’ equity, cash flows, and comprehensive income for each of the 52 weeks ended April 24, 2015, April 25, 2014, and April 26, 2013, and the effectiveness of internal control over financial reporting as of April 24, 2015, incorporated herein by reference.</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Sorin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 Benigno Crespi,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20159 Milan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Reference is made to our opinion letter, dated February 25, 2015, to the board of directors of Sorin S.p.A. (“Sorin”) as Annex B to Exhibit 2.1 to Amendment No. 3 to the Registration Statement of LivaNova PLC (f/k/a Sand Holdco PLC) on Form S-4 (the “Registration Statement”) relating to the business combination transaction (the “Transaction”) involving Sorin and Cyberonics Inc. We understand that the Registration Statement, which includes our opinion, will be incorporated by reference into the Registration Statement on Form S-8 (the “Form S-8”) of LivaNova.</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foregoing opinion letter was provided for the information and assistance of the board of directors of Sorin in connection with its consideration of the Transaction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In this regard, we hereby consent to the use of our opinion included as Annex B to Exhibit 2.1 to the proxy statement/prospectus included in the Registration Statement and to the reference to our firm name under the captions “Summary — Opinion of Rothschild as Financial Advisor to Sorin”, “Risk Factors — The opinion of Sorin’s and Cyberonics’ financial advisors will not reflect changes in circumstances between the signing of the letter of intent and the completion of the mergers”, “The Mergers — Background of the Mergers”, “The Mergers — Sorin Reasons for the Mergers” and “The Mergers — Opinion of Rothschild as Financial Advisor to Sorin” in such proxy statement/prospectus, and which will be incorporated by reference into the Form S-8. In giving our consent, we do not admit and we disclaim that we come within the category of persons whose consent is required under Section 7 of the Securities Act of 1933, as amended, or the rules and regulations of the Securities and Exchange Commission promulgated thereunder, nor do we admit that we are experts with respect to any part of such Form S-8 or Registration Statement within the meaning of the term “experts” as used in the Securities Act of 1933, as amended, or the rules and regulations of the Securities and Exchange Commission promulgated thereunder.</w:t>
      </w:r>
    </w:p>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Notwithstanding the foregoing, it is understood that our consent is being delivered solely in connection with the incorporation by reference of the Registration Statement into the Form S-8 and that our opinion is not to be used, circulated, quoted or otherwise referred to for any other purpose, nor is it to be filed with, included in or referred to in whole or in part in any registration statement (including any subsequent amendments to the above-mentioned Registration Statement or Form S-8), proxy statement or any other document, except in accordance with our prior written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Rothschild S.p.A.</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PIPER JAFFRAY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W2 1AY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understand that LivaNova PLC (the “</w:t>
      </w:r>
      <w:r>
        <w:rPr>
          <w:rFonts w:ascii="Arial" w:cs="Arial" w:eastAsia="Arial" w:hAnsi="Arial"/>
          <w:sz w:val="16"/>
          <w:szCs w:val="16"/>
          <w:i w:val="1"/>
          <w:iCs w:val="1"/>
          <w:u w:val="single" w:color="auto"/>
          <w:color w:val="auto"/>
        </w:rPr>
        <w:t>Company</w:t>
      </w:r>
      <w:r>
        <w:rPr>
          <w:rFonts w:ascii="Arial" w:cs="Arial" w:eastAsia="Arial" w:hAnsi="Arial"/>
          <w:sz w:val="16"/>
          <w:szCs w:val="16"/>
          <w:color w:val="auto"/>
        </w:rPr>
        <w:t>”) has determined to incorporate by reference into the Registration Statement on Form S-8 (the “</w:t>
      </w:r>
      <w:r>
        <w:rPr>
          <w:rFonts w:ascii="Arial" w:cs="Arial" w:eastAsia="Arial" w:hAnsi="Arial"/>
          <w:sz w:val="16"/>
          <w:szCs w:val="16"/>
          <w:i w:val="1"/>
          <w:iCs w:val="1"/>
          <w:u w:val="single" w:color="auto"/>
          <w:color w:val="auto"/>
        </w:rPr>
        <w:t>Form 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8</w:t>
      </w:r>
      <w:r>
        <w:rPr>
          <w:rFonts w:ascii="Arial" w:cs="Arial" w:eastAsia="Arial" w:hAnsi="Arial"/>
          <w:sz w:val="17"/>
          <w:szCs w:val="17"/>
          <w:color w:val="auto"/>
        </w:rPr>
        <w:t>”) all parts of the Company’s Amendment No. 3 to its Registration Statement on Form S-4 (the “</w:t>
      </w:r>
      <w:r>
        <w:rPr>
          <w:rFonts w:ascii="Arial" w:cs="Arial" w:eastAsia="Arial" w:hAnsi="Arial"/>
          <w:sz w:val="17"/>
          <w:szCs w:val="17"/>
          <w:i w:val="1"/>
          <w:iCs w:val="1"/>
          <w:u w:val="single" w:color="auto"/>
          <w:color w:val="auto"/>
        </w:rPr>
        <w:t>Form S-4</w:t>
      </w:r>
      <w:r>
        <w:rPr>
          <w:rFonts w:ascii="Arial" w:cs="Arial" w:eastAsia="Arial" w:hAnsi="Arial"/>
          <w:sz w:val="17"/>
          <w:szCs w:val="17"/>
          <w:color w:val="auto"/>
        </w:rPr>
        <w:t>”), which includes our opinion letter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Opinion</w:t>
      </w:r>
      <w:r>
        <w:rPr>
          <w:rFonts w:ascii="Arial" w:cs="Arial" w:eastAsia="Arial" w:hAnsi="Arial"/>
          <w:sz w:val="17"/>
          <w:szCs w:val="17"/>
          <w:color w:val="auto"/>
        </w:rPr>
        <w:t>”), dated February 25, 2015, to the Board of Directors of Cyberonics, Inc. (“</w:t>
      </w:r>
      <w:r>
        <w:rPr>
          <w:rFonts w:ascii="Arial" w:cs="Arial" w:eastAsia="Arial" w:hAnsi="Arial"/>
          <w:sz w:val="17"/>
          <w:szCs w:val="17"/>
          <w:i w:val="1"/>
          <w:iCs w:val="1"/>
          <w:u w:val="single" w:color="auto"/>
          <w:color w:val="auto"/>
        </w:rPr>
        <w:t>Cyberonics</w:t>
      </w:r>
      <w:r>
        <w:rPr>
          <w:rFonts w:ascii="Arial" w:cs="Arial" w:eastAsia="Arial" w:hAnsi="Arial"/>
          <w:sz w:val="17"/>
          <w:szCs w:val="17"/>
          <w:color w:val="auto"/>
        </w:rPr>
        <w:t>”), solely because such Opinion is included in the proxy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statement/prospectus that forms a part of the Form S-4 that was delivered to Cyberonics’ stockholders in connection with the proposed merger involving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Cyberonics and Sorin S.p.A.</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therewith, we hereby consent to the inclusion of our Opinion to, and references thereto under the headings “Summary—Opinion of Piper Jaffray as Financial Advisor to Cyberonics”; “Risk Factors—Risk Factors Relating to the Mergers” and “—Risk Factors Relating to the Combined Company Following Completion of the Mergers”; and “The Mergers—Background of the Mergers”, “—Cyberonics Reasons for the Mergers and Recommendation of the Cyberonics Board” and “—Opinion of Piper Jaffray as Financial Advisor to Cyberonics” in the proxy statement/prospectus that forms a part of, the Form S-4, and which will be incorporated by reference into the Form S-8. By giving such consent, we do not thereby admit that we are experts with respect to any part of such Form S-4 or Form S-8 within the meaning of the term “expert” as used in, or that we come within the category of persons whose consent is required under, Section 7 of the Securities Act of 1933, as amended, or the rules and regulations of the Securities and Exchange Commission promulgated thereunder.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5"/>
          <w:szCs w:val="15"/>
          <w:color w:val="auto"/>
        </w:rPr>
        <w:t>IPER</w:t>
      </w:r>
      <w:r>
        <w:rPr>
          <w:rFonts w:ascii="Arial" w:cs="Arial" w:eastAsia="Arial" w:hAnsi="Arial"/>
          <w:sz w:val="18"/>
          <w:szCs w:val="18"/>
          <w:color w:val="auto"/>
        </w:rPr>
        <w:t xml:space="preserve"> J</w:t>
      </w:r>
      <w:r>
        <w:rPr>
          <w:rFonts w:ascii="Arial" w:cs="Arial" w:eastAsia="Arial" w:hAnsi="Arial"/>
          <w:sz w:val="15"/>
          <w:szCs w:val="15"/>
          <w:color w:val="auto"/>
        </w:rPr>
        <w:t>AFFRAY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lowerLetter"/>
      <w:start w:val="35"/>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3804823E"/>
    <w:multiLevelType w:val="hybridMultilevel"/>
    <w:lvl w:ilvl="0">
      <w:lvlJc w:val="left"/>
      <w:lvlText w:val="(%1)"/>
      <w:numFmt w:val="decimal"/>
      <w:start w:val="2"/>
    </w:lvl>
  </w:abstractNum>
  <w:abstractNum w:abstractNumId="7">
    <w:nsid w:val="77465F01"/>
    <w:multiLevelType w:val="hybridMultilevel"/>
    <w:lvl w:ilvl="0">
      <w:lvlJc w:val="left"/>
      <w:lvlText w:val="%1"/>
      <w:numFmt w:val="lowerLetter"/>
      <w:start w:val="1"/>
    </w:lvl>
    <w:lvl w:ilvl="1">
      <w:lvlJc w:val="left"/>
      <w:lvlText w:val="(%2)"/>
      <w:numFmt w:val="decimal"/>
      <w:start w:val="3"/>
    </w:lvl>
  </w:abstractNum>
  <w:abstractNum w:abstractNumId="8">
    <w:nsid w:val="7724C67E"/>
    <w:multiLevelType w:val="hybridMultilevel"/>
    <w:lvl w:ilvl="0">
      <w:lvlJc w:val="left"/>
      <w:lvlText w:val="(%1)"/>
      <w:numFmt w:val="lowerLetter"/>
      <w:start w:val="2"/>
    </w:lvl>
    <w:lvl w:ilvl="1">
      <w:lvlJc w:val="left"/>
      <w:lvlText w:val="%2"/>
      <w:numFmt w:val="decimal"/>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2"/>
    </w:lvl>
  </w:abstractNum>
  <w:abstractNum w:abstractNumId="13">
    <w:nsid w:val="2D517796"/>
    <w:multiLevelType w:val="hybridMultilevel"/>
    <w:lvl w:ilvl="0">
      <w:lvlJc w:val="left"/>
      <w:lvlText w:val="%1"/>
      <w:numFmt w:val="lowerRoman"/>
      <w:start w:val="1"/>
    </w:lvl>
    <w:lvl w:ilvl="1">
      <w:lvlJc w:val="left"/>
      <w:lvlText w:val="(%2)"/>
      <w:numFmt w:val="lowerLetter"/>
      <w:start w:val="1"/>
    </w:lvl>
  </w:abstractNum>
  <w:abstractNum w:abstractNumId="14">
    <w:nsid w:val="580BD78F"/>
    <w:multiLevelType w:val="hybridMultilevel"/>
    <w:lvl w:ilvl="0">
      <w:lvlJc w:val="left"/>
      <w:lvlText w:val="(%1)"/>
      <w:numFmt w:val="lowerRoman"/>
      <w:start w:val="2"/>
    </w:lvl>
    <w:lvl w:ilvl="1">
      <w:lvlJc w:val="left"/>
      <w:lvlText w:val="%2"/>
      <w:numFmt w:val="lowerLetter"/>
      <w:start w:val="1"/>
    </w:lvl>
  </w:abstractNum>
  <w:abstractNum w:abstractNumId="15">
    <w:nsid w:val="153EA438"/>
    <w:multiLevelType w:val="hybridMultilevel"/>
    <w:lvl w:ilvl="0">
      <w:lvlJc w:val="left"/>
      <w:lvlText w:val="(%1)"/>
      <w:numFmt w:val="lowerRoman"/>
      <w:start w:val="17"/>
    </w:lvl>
    <w:lvl w:ilvl="1">
      <w:lvlJc w:val="left"/>
      <w:lvlText w:val="%2"/>
      <w:numFmt w:val="lowerLetter"/>
      <w:start w:val="1"/>
    </w:lvl>
  </w:abstractNum>
  <w:abstractNum w:abstractNumId="16">
    <w:nsid w:val="3855585C"/>
    <w:multiLevelType w:val="hybridMultilevel"/>
    <w:lvl w:ilvl="0">
      <w:lvlJc w:val="left"/>
      <w:lvlText w:val="(%1)"/>
      <w:numFmt w:val="lowerRoman"/>
      <w:start w:val="19"/>
    </w:lvl>
    <w:lvl w:ilvl="1">
      <w:lvlJc w:val="left"/>
      <w:lvlText w:val="%2"/>
      <w:numFmt w:val="lowerLetter"/>
      <w:start w:val="1"/>
    </w:lvl>
  </w:abstractNum>
  <w:abstractNum w:abstractNumId="17">
    <w:nsid w:val="70A64E2A"/>
    <w:multiLevelType w:val="hybridMultilevel"/>
    <w:lvl w:ilvl="0">
      <w:lvlJc w:val="left"/>
      <w:lvlText w:val="(%1)"/>
      <w:numFmt w:val="lowerRoman"/>
      <w:start w:val="25"/>
    </w:lvl>
    <w:lvl w:ilvl="1">
      <w:lvlJc w:val="left"/>
      <w:lvlText w:val="%2"/>
      <w:numFmt w:val="lowerLetter"/>
      <w:start w:val="1"/>
    </w:lvl>
  </w:abstractNum>
  <w:abstractNum w:abstractNumId="18">
    <w:nsid w:val="6A2342EC"/>
    <w:multiLevelType w:val="hybridMultilevel"/>
    <w:lvl w:ilvl="0">
      <w:lvlJc w:val="left"/>
      <w:lvlText w:val="(%1)"/>
      <w:numFmt w:val="lowerRoman"/>
      <w:start w:val="34"/>
    </w:lvl>
    <w:lvl w:ilvl="1">
      <w:lvlJc w:val="left"/>
      <w:lvlText w:val="%2"/>
      <w:numFmt w:val="lowerLetter"/>
      <w:start w:val="1"/>
    </w:lvl>
  </w:abstractNum>
  <w:abstractNum w:abstractNumId="19">
    <w:nsid w:val="2A487CB0"/>
    <w:multiLevelType w:val="hybridMultilevel"/>
    <w:lvl w:ilvl="0">
      <w:lvlJc w:val="left"/>
      <w:lvlText w:val="(%1)"/>
      <w:numFmt w:val="lowerRoman"/>
      <w:start w:val="37"/>
    </w:lvl>
    <w:lvl w:ilvl="1">
      <w:lvlJc w:val="left"/>
      <w:lvlText w:val="%2"/>
      <w:numFmt w:val="lowerLetter"/>
      <w:start w:val="1"/>
    </w:lvl>
  </w:abstractNum>
  <w:abstractNum w:abstractNumId="20">
    <w:nsid w:val="1D4ED43B"/>
    <w:multiLevelType w:val="hybridMultilevel"/>
    <w:lvl w:ilvl="0">
      <w:lvlJc w:val="left"/>
      <w:lvlText w:val="%1"/>
      <w:numFmt w:val="lowerRoman"/>
      <w:start w:val="1"/>
    </w:lvl>
    <w:lvl w:ilvl="1">
      <w:lvlJc w:val="left"/>
      <w:lvlText w:val="(%2)"/>
      <w:numFmt w:val="lowerLetter"/>
      <w:start w:val="2"/>
    </w:lvl>
  </w:abstractNum>
  <w:abstractNum w:abstractNumId="21">
    <w:nsid w:val="725A06FB"/>
    <w:multiLevelType w:val="hybridMultilevel"/>
    <w:lvl w:ilvl="0">
      <w:lvlJc w:val="left"/>
      <w:lvlText w:val="(%1)"/>
      <w:numFmt w:val="lowerRoman"/>
      <w:start w:val="5"/>
    </w:lvl>
    <w:lvl w:ilvl="1">
      <w:lvlJc w:val="left"/>
      <w:lvlText w:val="%2"/>
      <w:numFmt w:val="lowerLetter"/>
      <w:start w:val="1"/>
    </w:lvl>
  </w:abstractNum>
  <w:abstractNum w:abstractNumId="22">
    <w:nsid w:val="2CD89A32"/>
    <w:multiLevelType w:val="hybridMultilevel"/>
    <w:lvl w:ilvl="0">
      <w:lvlJc w:val="left"/>
      <w:lvlText w:val="(%1)"/>
      <w:numFmt w:val="lowerRoman"/>
      <w:start w:val="7"/>
    </w:lvl>
    <w:lvl w:ilvl="1">
      <w:lvlJc w:val="left"/>
      <w:lvlText w:val="%2"/>
      <w:numFmt w:val="lowerLetter"/>
      <w:start w:val="1"/>
    </w:lvl>
  </w:abstractNum>
  <w:abstractNum w:abstractNumId="23">
    <w:nsid w:val="57E4CCAF"/>
    <w:multiLevelType w:val="hybridMultilevel"/>
    <w:lvl w:ilvl="0">
      <w:lvlJc w:val="left"/>
      <w:lvlText w:val="(%1)"/>
      <w:numFmt w:val="lowerRoman"/>
      <w:start w:val="13"/>
    </w:lvl>
    <w:lvl w:ilvl="1">
      <w:lvlJc w:val="left"/>
      <w:lvlText w:val="%2"/>
      <w:numFmt w:val="lowerLetter"/>
      <w:start w:val="1"/>
    </w:lvl>
  </w:abstractNum>
  <w:abstractNum w:abstractNumId="24">
    <w:nsid w:val="7A6D8D3C"/>
    <w:multiLevelType w:val="hybridMultilevel"/>
    <w:lvl w:ilvl="0">
      <w:lvlJc w:val="left"/>
      <w:lvlText w:val="(%1)"/>
      <w:numFmt w:val="lowerRoman"/>
      <w:start w:val="21"/>
    </w:lvl>
    <w:lvl w:ilvl="1">
      <w:lvlJc w:val="left"/>
      <w:lvlText w:val="%2"/>
      <w:numFmt w:val="lowerLetter"/>
      <w:start w:val="1"/>
    </w:lvl>
  </w:abstractNum>
  <w:abstractNum w:abstractNumId="25">
    <w:nsid w:val="4B588F54"/>
    <w:multiLevelType w:val="hybridMultilevel"/>
    <w:lvl w:ilvl="0">
      <w:lvlJc w:val="left"/>
      <w:lvlText w:val="(%1)"/>
      <w:numFmt w:val="lowerLetter"/>
      <w:start w:val="1"/>
    </w:lvl>
    <w:lvl w:ilvl="1">
      <w:lvlJc w:val="left"/>
      <w:lvlText w:val="(%2)"/>
      <w:numFmt w:val="lowerRoman"/>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1"/>
    </w:lvl>
    <w:lvl w:ilvl="1">
      <w:lvlJc w:val="left"/>
      <w:lvlText w:val="(%2)"/>
      <w:numFmt w:val="lowerLetter"/>
      <w:start w:val="1"/>
    </w:lvl>
  </w:abstractNum>
  <w:abstractNum w:abstractNumId="28">
    <w:nsid w:val="38437FDB"/>
    <w:multiLevelType w:val="hybridMultilevel"/>
    <w:lvl w:ilvl="0">
      <w:lvlJc w:val="left"/>
      <w:lvlText w:val="(%1)"/>
      <w:numFmt w:val="lowerLetter"/>
      <w:start w:val="61"/>
    </w:lvl>
    <w:lvl w:ilvl="1">
      <w:lvlJc w:val="left"/>
      <w:lvlText w:val="(%2)"/>
      <w:numFmt w:val="lowerLetter"/>
      <w:start w:val="3"/>
    </w:lvl>
  </w:abstractNum>
  <w:abstractNum w:abstractNumId="29">
    <w:nsid w:val="7644A45C"/>
    <w:multiLevelType w:val="hybridMultilevel"/>
    <w:lvl w:ilvl="0">
      <w:lvlJc w:val="left"/>
      <w:lvlText w:val="(%1)"/>
      <w:numFmt w:val="lowerLetter"/>
      <w:start w:val="3"/>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Roman"/>
      <w:start w:val="1"/>
    </w:lvl>
  </w:abstractNum>
  <w:abstractNum w:abstractNumId="32">
    <w:nsid w:val="579478FE"/>
    <w:multiLevelType w:val="hybridMultilevel"/>
    <w:lvl w:ilvl="0">
      <w:lvlJc w:val="left"/>
      <w:lvlText w:val="(%1)"/>
      <w:numFmt w:val="lowerLetter"/>
      <w:start w:val="3"/>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lowerLetter"/>
      <w:start w:val="3"/>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1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3"/>
    </w:lvl>
  </w:abstractNum>
  <w:abstractNum w:abstractNumId="42">
    <w:nsid w:val="4F4EF005"/>
    <w:multiLevelType w:val="hybridMultilevel"/>
    <w:lvl w:ilvl="0">
      <w:lvlJc w:val="left"/>
      <w:lvlText w:val="(%1)"/>
      <w:numFmt w:val="lowerLetter"/>
      <w:start w:val="1"/>
    </w:lvl>
    <w:lvl w:ilvl="1">
      <w:lvlJc w:val="left"/>
      <w:lvlText w:val="(%2)"/>
      <w:numFmt w:val="lowerLetter"/>
      <w:start w:val="9"/>
    </w:lvl>
  </w:abstractNum>
  <w:abstractNum w:abstractNumId="43">
    <w:nsid w:val="23F9C1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4">
    <w:nsid w:val="649BB77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5">
    <w:nsid w:val="275AC79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6">
    <w:nsid w:val="39386575"/>
    <w:multiLevelType w:val="hybridMultilevel"/>
    <w:lvl w:ilvl="0">
      <w:lvlJc w:val="left"/>
      <w:lvlText w:val="%1"/>
      <w:numFmt w:val="decimal"/>
      <w:start w:val="1"/>
    </w:lvl>
    <w:lvl w:ilvl="1">
      <w:lvlJc w:val="left"/>
      <w:lvlText w:val="(%2)"/>
      <w:numFmt w:val="lowerLetter"/>
      <w:start w:val="5"/>
    </w:lvl>
  </w:abstractNum>
  <w:abstractNum w:abstractNumId="47">
    <w:nsid w:val="1CF10FD8"/>
    <w:multiLevelType w:val="hybridMultilevel"/>
    <w:lvl w:ilvl="0">
      <w:lvlJc w:val="left"/>
      <w:lvlText w:val="(%1)"/>
      <w:numFmt w:val="decimal"/>
      <w:start w:val="15"/>
    </w:lvl>
    <w:lvl w:ilvl="1">
      <w:lvlJc w:val="left"/>
      <w:lvlText w:val="(%2)"/>
      <w:numFmt w:val="lowerLetter"/>
      <w:start w:val="6"/>
    </w:lvl>
  </w:abstractNum>
  <w:abstractNum w:abstractNumId="48">
    <w:nsid w:val="180115BE"/>
    <w:multiLevelType w:val="hybridMultilevel"/>
    <w:lvl w:ilvl="0">
      <w:lvlJc w:val="left"/>
      <w:lvlText w:val="(%1)"/>
      <w:numFmt w:val="lowerLetter"/>
      <w:start w:val="10"/>
    </w:lvl>
  </w:abstractNum>
  <w:abstractNum w:abstractNumId="49">
    <w:nsid w:val="235BA861"/>
    <w:multiLevelType w:val="hybridMultilevel"/>
    <w:lvl w:ilvl="0">
      <w:lvlJc w:val="left"/>
      <w:lvlText w:val="%1"/>
      <w:numFmt w:val="decimal"/>
      <w:start w:val="99"/>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4"/>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2"/>
    </w:lvl>
    <w:lvl w:ilvl="1">
      <w:lvlJc w:val="left"/>
      <w:lvlText w:val="(%2)"/>
      <w:numFmt w:val="lowerLetter"/>
      <w:start w:val="1"/>
    </w:lvl>
  </w:abstractNum>
  <w:abstractNum w:abstractNumId="59">
    <w:nsid w:val="77AE35EB"/>
    <w:multiLevelType w:val="hybridMultilevel"/>
    <w:lvl w:ilvl="0">
      <w:lvlJc w:val="left"/>
      <w:lvlText w:val="(%1)"/>
      <w:numFmt w:val="lowerLetter"/>
      <w:start w:val="3"/>
    </w:lvl>
  </w:abstractNum>
  <w:abstractNum w:abstractNumId="60">
    <w:nsid w:val="579BE4F1"/>
    <w:multiLevelType w:val="hybridMultilevel"/>
    <w:lvl w:ilvl="0">
      <w:lvlJc w:val="left"/>
      <w:lvlText w:val="%1."/>
      <w:numFmt w:val="decimal"/>
      <w:start w:val="3"/>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7"/>
    </w:lvl>
  </w:abstractNum>
  <w:abstractNum w:abstractNumId="63">
    <w:nsid w:val="2F305DEF"/>
    <w:multiLevelType w:val="hybridMultilevel"/>
    <w:lvl w:ilvl="0">
      <w:lvlJc w:val="left"/>
      <w:lvlText w:val="(%1)"/>
      <w:numFmt w:val="lowerLetter"/>
      <w:start w:val="11"/>
    </w:lvl>
  </w:abstractNum>
  <w:abstractNum w:abstractNumId="64">
    <w:nsid w:val="25A70BF7"/>
    <w:multiLevelType w:val="hybridMultilevel"/>
    <w:lvl w:ilvl="0">
      <w:lvlJc w:val="left"/>
      <w:lvlText w:val="(%1)"/>
      <w:numFmt w:val="lowerLetter"/>
      <w:start w:val="14"/>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2019-12-09T05:40:10Z</dcterms:created>
  <dcterms:modified xsi:type="dcterms:W3CDTF">2019-12-09T05:40:10Z</dcterms:modified>
</cp:coreProperties>
</file>