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696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696075"/>
                    </a:xfrm>
                    <a:prstGeom prst="rect">
                      <a:avLst/>
                    </a:prstGeom>
                    <a:noFill/>
                  </pic:spPr>
                </pic:pic>
              </a:graphicData>
            </a:graphic>
          </wp:anchor>
        </w:drawing>
      </w:r>
    </w:p>
    <w:p>
      <w:pPr>
        <w:spacing w:after="0" w:line="90" w:lineRule="exact"/>
        <w:rPr>
          <w:sz w:val="24"/>
          <w:szCs w:val="24"/>
          <w:color w:val="auto"/>
        </w:rPr>
      </w:pPr>
    </w:p>
    <w:p>
      <w:pPr>
        <w:sectPr>
          <w:pgSz w:w="11900" w:h="16844"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Skeffington Keyna Pidcock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03/30/2021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16"/>
        <w:spacing w:after="0"/>
        <w:rPr>
          <w:sz w:val="20"/>
          <w:szCs w:val="20"/>
          <w:color w:val="auto"/>
        </w:rPr>
      </w:pPr>
      <w:r>
        <w:rPr>
          <w:rFonts w:ascii="Arial" w:cs="Arial" w:eastAsia="Arial" w:hAnsi="Arial"/>
          <w:sz w:val="17"/>
          <w:szCs w:val="17"/>
          <w:color w:val="0000FF"/>
        </w:rPr>
        <w:t>General Counsel</w:t>
      </w:r>
    </w:p>
    <w:p>
      <w:pPr>
        <w:spacing w:after="0" w:line="299" w:lineRule="exact"/>
        <w:rPr>
          <w:sz w:val="24"/>
          <w:szCs w:val="24"/>
          <w:color w:val="auto"/>
        </w:rPr>
      </w:pPr>
    </w:p>
    <w:p>
      <w:pPr>
        <w:sectPr>
          <w:pgSz w:w="11900" w:h="16844" w:orient="portrait"/>
          <w:cols w:equalWidth="0" w:num="3">
            <w:col w:w="3200" w:space="720"/>
            <w:col w:w="3104" w:space="720"/>
            <w:col w:w="3336"/>
          </w:cols>
          <w:pgMar w:left="460" w:top="220"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2" w:lineRule="exact"/>
        <w:rPr>
          <w:sz w:val="24"/>
          <w:szCs w:val="24"/>
          <w:color w:val="auto"/>
        </w:rPr>
      </w:pPr>
    </w:p>
    <w:p>
      <w:pPr>
        <w:sectPr>
          <w:pgSz w:w="11900" w:h="16844" w:orient="portrait"/>
          <w:cols w:equalWidth="0" w:num="2">
            <w:col w:w="3760" w:space="160"/>
            <w:col w:w="716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572"/>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84"/>
              </w:rPr>
              <w:t>578</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line="306"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4,431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79"/>
              </w:rPr>
              <w:t>272</w:t>
            </w:r>
            <w:r>
              <w:rPr>
                <w:rFonts w:ascii="Arial" w:cs="Arial" w:eastAsia="Arial" w:hAnsi="Arial"/>
                <w:sz w:val="21"/>
                <w:szCs w:val="21"/>
                <w:color w:val="008000"/>
                <w:w w:val="79"/>
                <w:vertAlign w:val="superscript"/>
              </w:rPr>
              <w:t>(2)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73.54</w:t>
            </w: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4,159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84"/>
              </w:rPr>
              <w:t>1,435</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line="306"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5,594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79"/>
              </w:rPr>
              <w:t>675</w:t>
            </w:r>
            <w:r>
              <w:rPr>
                <w:rFonts w:ascii="Arial" w:cs="Arial" w:eastAsia="Arial" w:hAnsi="Arial"/>
                <w:sz w:val="21"/>
                <w:szCs w:val="21"/>
                <w:color w:val="008000"/>
                <w:w w:val="79"/>
                <w:vertAlign w:val="superscript"/>
              </w:rPr>
              <w:t>(2)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73.54</w:t>
            </w:r>
          </w:p>
        </w:tc>
        <w:tc>
          <w:tcPr>
            <w:tcW w:w="1260" w:type="dxa"/>
            <w:vAlign w:val="bottom"/>
            <w:tcBorders>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4,919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vMerge w:val="restart"/>
          </w:tcPr>
          <w:p>
            <w:pPr>
              <w:jc w:val="right"/>
              <w:ind w:right="118"/>
              <w:spacing w:after="0"/>
              <w:rPr>
                <w:sz w:val="20"/>
                <w:szCs w:val="20"/>
                <w:color w:val="auto"/>
              </w:rPr>
            </w:pPr>
            <w:r>
              <w:rPr>
                <w:rFonts w:ascii="Arial" w:cs="Arial" w:eastAsia="Arial" w:hAnsi="Arial"/>
                <w:sz w:val="13"/>
                <w:szCs w:val="13"/>
                <w:color w:val="0000FF"/>
              </w:rPr>
              <w:t>578</w:t>
            </w: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ind w:right="10"/>
              <w:spacing w:after="0"/>
              <w:rPr>
                <w:sz w:val="20"/>
                <w:szCs w:val="20"/>
                <w:color w:val="auto"/>
              </w:rPr>
            </w:pPr>
            <w:r>
              <w:rPr>
                <w:rFonts w:ascii="Arial" w:cs="Arial" w:eastAsia="Arial" w:hAnsi="Arial"/>
                <w:sz w:val="17"/>
                <w:szCs w:val="17"/>
                <w:color w:val="0000FF"/>
                <w:w w:val="84"/>
              </w:rPr>
              <w:t>578</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1,156</w:t>
            </w:r>
            <w:r>
              <w:rPr>
                <w:rFonts w:ascii="Arial" w:cs="Arial" w:eastAsia="Arial" w:hAnsi="Arial"/>
                <w:sz w:val="21"/>
                <w:szCs w:val="21"/>
                <w:color w:val="008000"/>
                <w:w w:val="80"/>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vMerge w:val="restart"/>
          </w:tcPr>
          <w:p>
            <w:pPr>
              <w:jc w:val="right"/>
              <w:ind w:right="58"/>
              <w:spacing w:after="0"/>
              <w:rPr>
                <w:sz w:val="20"/>
                <w:szCs w:val="20"/>
                <w:color w:val="auto"/>
              </w:rPr>
            </w:pPr>
            <w:r>
              <w:rPr>
                <w:rFonts w:ascii="Arial" w:cs="Arial" w:eastAsia="Arial" w:hAnsi="Arial"/>
                <w:sz w:val="13"/>
                <w:szCs w:val="13"/>
                <w:color w:val="0000FF"/>
              </w:rPr>
              <w:t>1,435</w:t>
            </w: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1,435</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4,302</w:t>
            </w:r>
            <w:r>
              <w:rPr>
                <w:rFonts w:ascii="Arial" w:cs="Arial" w:eastAsia="Arial" w:hAnsi="Arial"/>
                <w:sz w:val="21"/>
                <w:szCs w:val="21"/>
                <w:color w:val="008000"/>
                <w:w w:val="80"/>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3,412</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3,412</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3,412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1,706</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(9)</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1,706</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1,706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1,706</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1,706</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1,706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3,412</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3,412</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3,412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8,437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9"/>
              </w:rPr>
              <w:t>Appreciation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73.25</w:t>
            </w: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5"/>
                <w:szCs w:val="5"/>
                <w:color w:val="auto"/>
              </w:rPr>
            </w:pPr>
          </w:p>
        </w:tc>
        <w:tc>
          <w:tcPr>
            <w:tcW w:w="62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5"/>
                <w:szCs w:val="5"/>
                <w:color w:val="auto"/>
              </w:rPr>
            </w:pPr>
          </w:p>
        </w:tc>
        <w:tc>
          <w:tcPr>
            <w:tcW w:w="44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8,437</w:t>
            </w: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0"/>
              <w:spacing w:after="0" w:line="140" w:lineRule="exact"/>
              <w:rPr>
                <w:sz w:val="20"/>
                <w:szCs w:val="20"/>
                <w:color w:val="auto"/>
              </w:rPr>
            </w:pPr>
            <w:r>
              <w:rPr>
                <w:rFonts w:ascii="Arial" w:cs="Arial" w:eastAsia="Arial" w:hAnsi="Arial"/>
                <w:sz w:val="13"/>
                <w:szCs w:val="13"/>
                <w:color w:val="0000FF"/>
                <w:w w:val="85"/>
              </w:rPr>
              <w:t>8,437</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-3375660</wp:posOffset>
            </wp:positionV>
            <wp:extent cx="28575" cy="338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80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1" w:lineRule="exact"/>
        <w:rPr>
          <w:rFonts w:ascii="Arial" w:cs="Arial" w:eastAsia="Arial" w:hAnsi="Arial"/>
          <w:sz w:val="13"/>
          <w:szCs w:val="13"/>
          <w:color w:val="008000"/>
        </w:rPr>
      </w:pPr>
    </w:p>
    <w:p>
      <w:pPr>
        <w:ind w:left="40" w:right="46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7" w:lineRule="exact"/>
        <w:rPr>
          <w:rFonts w:ascii="Arial" w:cs="Arial" w:eastAsia="Arial" w:hAnsi="Arial"/>
          <w:sz w:val="13"/>
          <w:szCs w:val="13"/>
          <w:color w:val="008000"/>
        </w:rPr>
      </w:pPr>
    </w:p>
    <w:p>
      <w:pPr>
        <w:ind w:left="40" w:right="3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2019, reporting person was granted RSUs subject to a four-year vesting schedule, the first vesting occurring on March 30, 2020.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1" w:lineRule="exact"/>
        <w:rPr>
          <w:rFonts w:ascii="Arial" w:cs="Arial" w:eastAsia="Arial" w:hAnsi="Arial"/>
          <w:sz w:val="13"/>
          <w:szCs w:val="13"/>
          <w:color w:val="008000"/>
        </w:rPr>
      </w:pPr>
    </w:p>
    <w:p>
      <w:pPr>
        <w:ind w:left="40" w:right="3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RSUs subject to a four-year vesting schedule, the first vesting occurring on March 30, 2021.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40" w:right="3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RSUs subject to a four-year vesting schedule, the first vesting to occur on March 30, 2022.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Arial" w:cs="Arial" w:eastAsia="Arial" w:hAnsi="Arial"/>
          <w:sz w:val="13"/>
          <w:szCs w:val="13"/>
          <w:color w:val="008000"/>
        </w:rPr>
      </w:pPr>
    </w:p>
    <w:p>
      <w:pPr>
        <w:ind w:left="40" w:right="48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how the Company's Return on Investment Capital (ROIC) for fiscal year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480"/>
        <w:spacing w:after="0" w:line="236" w:lineRule="auto"/>
        <w:tabs>
          <w:tab w:leader="none" w:pos="2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how the Company's cumulative adjusted free cash flow for fiscal years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140"/>
        <w:spacing w:after="0" w:line="236" w:lineRule="auto"/>
        <w:tabs>
          <w:tab w:leader="none" w:pos="22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the the Company's total shareholder return (TSR) for the three-year period beginning on January 1, 2021 and ending December 31, 2023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220"/>
        <w:spacing w:after="0" w:line="244" w:lineRule="auto"/>
        <w:tabs>
          <w:tab w:leader="none" w:pos="2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stock appreciation rights (SARs) subject to a four-year vesting schedule, the first vesting to occur on March 30, 2022. The SARs are subject to forfeiture prior to vesting in accordance with the terms of the Plan and the award agreement.</w:t>
      </w:r>
    </w:p>
    <w:p>
      <w:pPr>
        <w:sectPr>
          <w:pgSz w:w="11900" w:h="16844" w:orient="portrait"/>
          <w:cols w:equalWidth="0" w:num="1">
            <w:col w:w="11080"/>
          </w:cols>
          <w:pgMar w:left="460" w:top="220" w:right="359" w:bottom="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44" w:orient="portrait"/>
          <w:cols w:equalWidth="0" w:num="1">
            <w:col w:w="11080"/>
          </w:cols>
          <w:pgMar w:left="460" w:top="220"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Sarah K. Mohr, POA</w:t>
            </w:r>
          </w:p>
        </w:tc>
        <w:tc>
          <w:tcPr>
            <w:tcW w:w="6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8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6" w:lineRule="exact"/>
        <w:rPr>
          <w:sz w:val="20"/>
          <w:szCs w:val="20"/>
          <w:color w:val="auto"/>
        </w:rPr>
      </w:pPr>
    </w:p>
    <w:p>
      <w:pPr>
        <w:ind w:right="240" w:firstLine="611"/>
        <w:spacing w:after="0" w:line="325"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5" w:lineRule="exact"/>
        <w:rPr>
          <w:sz w:val="20"/>
          <w:szCs w:val="20"/>
          <w:color w:val="auto"/>
        </w:rPr>
      </w:pPr>
    </w:p>
    <w:p>
      <w:pPr>
        <w:ind w:left="1220" w:right="40" w:hanging="607"/>
        <w:spacing w:after="0" w:line="313"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180" w:hanging="607"/>
        <w:spacing w:after="0" w:line="338"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3" w:lineRule="exact"/>
        <w:rPr>
          <w:rFonts w:ascii="Arial" w:cs="Arial" w:eastAsia="Arial" w:hAnsi="Arial"/>
          <w:sz w:val="17"/>
          <w:szCs w:val="17"/>
          <w:color w:val="auto"/>
        </w:rPr>
      </w:pPr>
    </w:p>
    <w:p>
      <w:pPr>
        <w:jc w:val="both"/>
        <w:ind w:left="1220" w:right="40" w:hanging="607"/>
        <w:spacing w:after="0" w:line="330"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20" w:firstLine="611"/>
        <w:spacing w:after="0" w:line="301"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11"/>
        <w:spacing w:after="0" w:line="346"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2" w:lineRule="exact"/>
        <w:rPr>
          <w:sz w:val="20"/>
          <w:szCs w:val="20"/>
          <w:color w:val="auto"/>
        </w:rPr>
      </w:pPr>
    </w:p>
    <w:p>
      <w:pPr>
        <w:ind w:right="160" w:firstLine="611"/>
        <w:spacing w:after="0" w:line="331"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4" w:lineRule="exact"/>
        <w:rPr>
          <w:sz w:val="20"/>
          <w:szCs w:val="20"/>
          <w:color w:val="auto"/>
        </w:rPr>
      </w:pPr>
    </w:p>
    <w:p>
      <w:pPr>
        <w:ind w:right="40" w:firstLine="611"/>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-13970</wp:posOffset>
            </wp:positionV>
            <wp:extent cx="1393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60"/>
      </w:cols>
      <w:pgMar w:left="460" w:top="34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2021-04-01T16:37:19Z</dcterms:created>
  <dcterms:modified xsi:type="dcterms:W3CDTF">2021-04-01T16:37:19Z</dcterms:modified>
</cp:coreProperties>
</file>