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7230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23011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Bolton Stephanie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693"/>
        <w:spacing w:after="0"/>
        <w:rPr>
          <w:sz w:val="20"/>
          <w:szCs w:val="20"/>
          <w:color w:val="auto"/>
        </w:rPr>
      </w:pPr>
      <w:r>
        <w:rPr>
          <w:rFonts w:ascii="Times New Roman" w:cs="Times New Roman" w:eastAsia="Times New Roman" w:hAnsi="Times New Roman"/>
          <w:sz w:val="17"/>
          <w:szCs w:val="17"/>
          <w:color w:val="0000FF"/>
        </w:rPr>
        <w:t>President, Global Epilepsy</w:t>
      </w:r>
    </w:p>
    <w:p>
      <w:pPr>
        <w:spacing w:after="0" w:line="305"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76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760" w:type="dxa"/>
            <w:vAlign w:val="bottom"/>
            <w:gridSpan w:val="7"/>
            <w:vMerge w:val="continue"/>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7"/>
              </w:rPr>
              <w:t>LONDON</w:t>
            </w:r>
          </w:p>
        </w:tc>
        <w:tc>
          <w:tcPr>
            <w:tcW w:w="7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X0</w:t>
            </w:r>
          </w:p>
        </w:tc>
        <w:tc>
          <w:tcPr>
            <w:tcW w:w="90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W2 6LA</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4280" w:type="dxa"/>
            <w:vAlign w:val="bottom"/>
            <w:tcBorders>
              <w:bottom w:val="single" w:sz="8" w:color="2C2C2C"/>
            </w:tcBorders>
            <w:gridSpan w:val="9"/>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9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03/30/2026</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17,815</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righ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30,566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9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03/30/2026</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8,377</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61.27</w:t>
            </w:r>
          </w:p>
        </w:tc>
        <w:tc>
          <w:tcPr>
            <w:tcW w:w="1260" w:type="dxa"/>
            <w:vAlign w:val="bottom"/>
            <w:tcBorders>
              <w:bottom w:val="single" w:sz="8" w:color="2C2C2C"/>
            </w:tcBorders>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22,189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right"/>
              <w:ind w:right="16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900" w:type="dxa"/>
            <w:vAlign w:val="bottom"/>
          </w:tcPr>
          <w:p>
            <w:pPr>
              <w:spacing w:after="0"/>
              <w:rPr>
                <w:sz w:val="11"/>
                <w:szCs w:val="11"/>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457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4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457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1,330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4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1,330</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99"/>
              <w:spacing w:after="0"/>
              <w:rPr>
                <w:sz w:val="20"/>
                <w:szCs w:val="20"/>
                <w:color w:val="auto"/>
              </w:rPr>
            </w:pPr>
            <w:r>
              <w:rPr>
                <w:rFonts w:ascii="Times New Roman" w:cs="Times New Roman" w:eastAsia="Times New Roman" w:hAnsi="Times New Roman"/>
                <w:sz w:val="13"/>
                <w:szCs w:val="13"/>
                <w:color w:val="0000FF"/>
                <w:w w:val="95"/>
              </w:rPr>
              <w:t>1,329</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1,229</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4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1,229</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99"/>
              <w:spacing w:after="0"/>
              <w:rPr>
                <w:sz w:val="20"/>
                <w:szCs w:val="20"/>
                <w:color w:val="auto"/>
              </w:rPr>
            </w:pPr>
            <w:r>
              <w:rPr>
                <w:rFonts w:ascii="Times New Roman" w:cs="Times New Roman" w:eastAsia="Times New Roman" w:hAnsi="Times New Roman"/>
                <w:sz w:val="13"/>
                <w:szCs w:val="13"/>
                <w:color w:val="0000FF"/>
                <w:w w:val="95"/>
              </w:rPr>
              <w:t>2,457</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2,343</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4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(7)</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2,343</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99"/>
              <w:spacing w:after="0"/>
              <w:rPr>
                <w:sz w:val="20"/>
                <w:szCs w:val="20"/>
                <w:color w:val="auto"/>
              </w:rPr>
            </w:pPr>
            <w:r>
              <w:rPr>
                <w:rFonts w:ascii="Times New Roman" w:cs="Times New Roman" w:eastAsia="Times New Roman" w:hAnsi="Times New Roman"/>
                <w:sz w:val="13"/>
                <w:szCs w:val="13"/>
                <w:color w:val="0000FF"/>
                <w:w w:val="95"/>
              </w:rPr>
              <w:t>4,684</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(8)</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3,243</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74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3,243</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(8)</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3,156</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3,156</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(8)</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6,057</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6,057</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8,976</w:t>
            </w:r>
          </w:p>
        </w:tc>
        <w:tc>
          <w:tcPr>
            <w:tcW w:w="4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8,976</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99"/>
              <w:spacing w:after="0"/>
              <w:rPr>
                <w:sz w:val="20"/>
                <w:szCs w:val="20"/>
                <w:color w:val="auto"/>
              </w:rPr>
            </w:pPr>
            <w:r>
              <w:rPr>
                <w:rFonts w:ascii="Times New Roman" w:cs="Times New Roman" w:eastAsia="Times New Roman" w:hAnsi="Times New Roman"/>
                <w:sz w:val="13"/>
                <w:szCs w:val="13"/>
                <w:color w:val="0000FF"/>
                <w:w w:val="95"/>
              </w:rPr>
              <w:t>8,976</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(8)</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2,992</w:t>
            </w:r>
          </w:p>
        </w:tc>
        <w:tc>
          <w:tcPr>
            <w:tcW w:w="4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2,992</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99"/>
              <w:spacing w:after="0"/>
              <w:rPr>
                <w:sz w:val="20"/>
                <w:szCs w:val="20"/>
                <w:color w:val="auto"/>
              </w:rPr>
            </w:pPr>
            <w:r>
              <w:rPr>
                <w:rFonts w:ascii="Times New Roman" w:cs="Times New Roman" w:eastAsia="Times New Roman" w:hAnsi="Times New Roman"/>
                <w:sz w:val="13"/>
                <w:szCs w:val="13"/>
                <w:color w:val="0000FF"/>
                <w:w w:val="95"/>
              </w:rPr>
              <w:t>2,992</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(8)</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2,992</w:t>
            </w:r>
          </w:p>
        </w:tc>
        <w:tc>
          <w:tcPr>
            <w:tcW w:w="4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2,992</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99"/>
              <w:spacing w:after="0"/>
              <w:rPr>
                <w:sz w:val="20"/>
                <w:szCs w:val="20"/>
                <w:color w:val="auto"/>
              </w:rPr>
            </w:pPr>
            <w:r>
              <w:rPr>
                <w:rFonts w:ascii="Times New Roman" w:cs="Times New Roman" w:eastAsia="Times New Roman" w:hAnsi="Times New Roman"/>
                <w:sz w:val="13"/>
                <w:szCs w:val="13"/>
                <w:color w:val="0000FF"/>
                <w:w w:val="95"/>
              </w:rPr>
              <w:t>2,992</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008000"/>
              </w:rPr>
              <w:t>(8)</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2,992</w:t>
            </w:r>
          </w:p>
        </w:tc>
        <w:tc>
          <w:tcPr>
            <w:tcW w:w="4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2,992</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99"/>
              <w:spacing w:after="0"/>
              <w:rPr>
                <w:sz w:val="20"/>
                <w:szCs w:val="20"/>
                <w:color w:val="auto"/>
              </w:rPr>
            </w:pPr>
            <w:r>
              <w:rPr>
                <w:rFonts w:ascii="Times New Roman" w:cs="Times New Roman" w:eastAsia="Times New Roman" w:hAnsi="Times New Roman"/>
                <w:sz w:val="13"/>
                <w:szCs w:val="13"/>
                <w:color w:val="0000FF"/>
                <w:w w:val="95"/>
              </w:rPr>
              <w:t>2,992</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-4326890</wp:posOffset>
            </wp:positionV>
            <wp:extent cx="28575" cy="4331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3319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and vested performance stock units (PSUs) settled in ordinary shares of LivaNova PLC (the Company), GBP 1.00 par value.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1" w:lineRule="exact"/>
        <w:rPr>
          <w:rFonts w:ascii="Times New Roman" w:cs="Times New Roman" w:eastAsia="Times New Roman" w:hAnsi="Times New Roman"/>
          <w:sz w:val="13"/>
          <w:szCs w:val="13"/>
          <w:color w:val="008000"/>
        </w:rPr>
      </w:pPr>
    </w:p>
    <w:p>
      <w:pPr>
        <w:ind w:left="40" w:right="2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applicable Company incentive award plan identified in the footnote for such grant and the award agreement.</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in equal annual installments, the first vesting having occurred on March 30, 2023. The RSUs are subject to forfeiture prior to vesting in accordance with the terms of the Company's 2015 Incentive Award Plan (the 2015 Plan) and the award agreement.</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in equal annual installments, the first vesting having occurred on March 30, 2024. The RSUs are subject to forfeiture prior to vesting in accordance with the terms of the Company's 2022 Incentive Award Plan (the 2022 Plan) and the award agreement.</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having occurred on March 30, 2025. The RSUs are subject to forfeiture prior to vesting in accordance with the terms of the 2022 Plan and the award agreement.</w:t>
      </w:r>
    </w:p>
    <w:p>
      <w:pPr>
        <w:spacing w:after="0" w:line="20" w:lineRule="exact"/>
        <w:rPr>
          <w:rFonts w:ascii="Times New Roman" w:cs="Times New Roman" w:eastAsia="Times New Roman" w:hAnsi="Times New Roman"/>
          <w:sz w:val="13"/>
          <w:szCs w:val="13"/>
          <w:color w:val="008000"/>
        </w:rPr>
      </w:pPr>
    </w:p>
    <w:p>
      <w:pPr>
        <w:ind w:left="40" w:right="4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First Amended and Restated LivaNova PLC 2022 Incentive Award Plan (the First A&amp;R 2022 Plan) and the award agreement.</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120"/>
        <w:spacing w:after="0" w:line="250"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one ordinary share of the Company in accordance with the terms of the applicable Company incentive award plan identified in the footnote for such grant and the award agreement.</w:t>
      </w:r>
    </w:p>
    <w:p>
      <w:pPr>
        <w:spacing w:after="0" w:line="20" w:lineRule="exact"/>
        <w:rPr>
          <w:rFonts w:ascii="Times New Roman" w:cs="Times New Roman" w:eastAsia="Times New Roman" w:hAnsi="Times New Roman"/>
          <w:sz w:val="13"/>
          <w:szCs w:val="13"/>
          <w:color w:val="008000"/>
        </w:rPr>
      </w:pPr>
    </w:p>
    <w:p>
      <w:pPr>
        <w:ind w:right="140"/>
        <w:spacing w:after="0" w:line="238"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Company's cumulative free cash flow (FCF) for performance period 2023-2025 compared to a target determined by the 2022 Plan Administrator. The Company has determined that 122.0% of the underlying PSUs shall vest on March 30, 2026, subject to continued service during the vesting period and the award agreement. The performance achieved was 122.0%, and the actual number of vested shares is presented as the quantity that was acquired.</w:t>
      </w:r>
    </w:p>
    <w:p>
      <w:pPr>
        <w:spacing w:after="0" w:line="26" w:lineRule="exact"/>
        <w:rPr>
          <w:rFonts w:ascii="Times New Roman" w:cs="Times New Roman" w:eastAsia="Times New Roman" w:hAnsi="Times New Roman"/>
          <w:sz w:val="13"/>
          <w:szCs w:val="13"/>
          <w:color w:val="008000"/>
        </w:rPr>
      </w:pPr>
    </w:p>
    <w:p>
      <w:pPr>
        <w:ind w:right="100"/>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Company's Return on Investment Capital (ROIC) for performance period 2023-2025 compared to a target determined by the 2022 Plan Administrator. The Company has determined that 118.71% of the underlying PSUs shall vest on March 30, 2026, subject to continued service during the vesting period and the award agreement. The performance achieved was 118.71%, and the actual number of vested shares is presented as the quantity that was acquired.</w:t>
      </w:r>
    </w:p>
    <w:p>
      <w:pPr>
        <w:spacing w:after="0" w:line="26" w:lineRule="exact"/>
        <w:rPr>
          <w:rFonts w:ascii="Times New Roman" w:cs="Times New Roman" w:eastAsia="Times New Roman" w:hAnsi="Times New Roman"/>
          <w:sz w:val="13"/>
          <w:szCs w:val="13"/>
          <w:color w:val="008000"/>
        </w:rPr>
      </w:pPr>
    </w:p>
    <w:p>
      <w:pPr>
        <w:ind w:right="20"/>
        <w:spacing w:after="0" w:line="235" w:lineRule="auto"/>
        <w:tabs>
          <w:tab w:leader="none" w:pos="18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Company's relative total shareholder return (rTSR) for the three-year period beginning on January 1, 2023 and ending December 31, 2025 relative to the total shareholder return of an index of companies, as determined by the 2022 Plan Administrator. The Company has determined that 113.89% of the underlying PSUs shall vest on March 30, 2026, subject to continued service during the vesting period and the award agreement. The performance achieved was 113.89%, and the actual number of vested shares is presented as the quantity that was acquired.</w:t>
      </w:r>
    </w:p>
    <w:p>
      <w:pPr>
        <w:spacing w:after="0" w:line="26" w:lineRule="exact"/>
        <w:rPr>
          <w:rFonts w:ascii="Times New Roman" w:cs="Times New Roman" w:eastAsia="Times New Roman" w:hAnsi="Times New Roman"/>
          <w:sz w:val="13"/>
          <w:szCs w:val="13"/>
          <w:color w:val="008000"/>
        </w:rPr>
      </w:pPr>
    </w:p>
    <w:p>
      <w:pPr>
        <w:ind w:right="160"/>
        <w:spacing w:after="0" w:line="250"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RSUs subject to a three-year vesting in equal annual installments, the first vesting occurring on March 30, 2027. The RSUs are subject to forfeiture prior to vesting in accordance with the terms of the Second Amended and Restated LivaNova PLC 2022 Incentive Award Plan (the Second A&amp;R 2022 Plan) and the award agreement.</w:t>
      </w:r>
    </w:p>
    <w:p>
      <w:pPr>
        <w:spacing w:after="0" w:line="20" w:lineRule="exact"/>
        <w:rPr>
          <w:rFonts w:ascii="Times New Roman" w:cs="Times New Roman" w:eastAsia="Times New Roman" w:hAnsi="Times New Roman"/>
          <w:sz w:val="13"/>
          <w:szCs w:val="13"/>
          <w:color w:val="008000"/>
        </w:rPr>
      </w:pPr>
    </w:p>
    <w:p>
      <w:pPr>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how the Company's revenue growth for the performance period 2026-2028 compares to a target determined by the Second A&amp;R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jc w:val="both"/>
        <w:ind w:right="180"/>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the Company's relative total shareholder return (rTSR) for the three-year period beginning on January 1, 2026 and ending December 31, 2028 relative to the total shareholder return of an index of companies, as determined by the Second A&amp;R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how the Company's adjusted earnings per share (EPS) for the performance period 2026-2028 compares to a target determined by the Second A&amp;R 2022 Plan Administrator. The number included in column 5 of Table II reflects the target number of PSUs eligible for vesting subject to continued service during the vesting period and the award agreement.</w:t>
      </w:r>
    </w:p>
    <w:p>
      <w:pPr>
        <w:sectPr>
          <w:pgSz w:w="11900" w:h="16838" w:orient="portrait"/>
          <w:cols w:equalWidth="0" w:num="1">
            <w:col w:w="10860"/>
          </w:cols>
          <w:pgMar w:left="500" w:top="127" w:right="5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Sarah K. Mohr,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-3175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640" w:space="120"/>
            <w:col w:w="2100"/>
          </w:cols>
          <w:pgMar w:left="500" w:top="12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2558"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2026-04-01T16:34:14Z</dcterms:created>
  <dcterms:modified xsi:type="dcterms:W3CDTF">2026-04-01T16:34:14Z</dcterms:modified>
</cp:coreProperties>
</file>