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tabs>
          <w:tab w:leader="none" w:pos="9140" w:val="left"/>
        </w:tabs>
        <w:rPr>
          <w:sz w:val="20"/>
          <w:szCs w:val="20"/>
          <w:color w:val="auto"/>
        </w:rPr>
      </w:pPr>
      <w:r>
        <w:rPr>
          <w:rFonts w:ascii="Arial" w:cs="Arial" w:eastAsia="Arial" w:hAnsi="Arial"/>
          <w:sz w:val="18"/>
          <w:szCs w:val="18"/>
          <w:color w:val="auto"/>
        </w:rPr>
        <w:t>As filed with the Securities and Exchange Commission on November 16, 2018.</w:t>
      </w:r>
      <w:r>
        <w:rPr>
          <w:sz w:val="20"/>
          <w:szCs w:val="20"/>
          <w:color w:val="auto"/>
        </w:rPr>
        <w:tab/>
      </w:r>
      <w:r>
        <w:rPr>
          <w:rFonts w:ascii="Arial" w:cs="Arial" w:eastAsia="Arial" w:hAnsi="Arial"/>
          <w:sz w:val="16"/>
          <w:szCs w:val="16"/>
          <w:color w:val="auto"/>
        </w:rPr>
        <w:t>Registration No. 333-</w:t>
      </w:r>
    </w:p>
    <w:p>
      <w:pPr>
        <w:spacing w:after="0" w:line="6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15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S-8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LivaNova PLC</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153"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900" w:type="dxa"/>
            <w:vAlign w:val="bottom"/>
          </w:tcPr>
          <w:p>
            <w:pPr>
              <w:jc w:val="center"/>
              <w:ind w:right="1339"/>
              <w:spacing w:after="0"/>
              <w:rPr>
                <w:sz w:val="20"/>
                <w:szCs w:val="20"/>
                <w:color w:val="auto"/>
              </w:rPr>
            </w:pPr>
            <w:r>
              <w:rPr>
                <w:rFonts w:ascii="Arial" w:cs="Arial" w:eastAsia="Arial" w:hAnsi="Arial"/>
                <w:sz w:val="18"/>
                <w:szCs w:val="18"/>
                <w:b w:val="1"/>
                <w:bCs w:val="1"/>
                <w:color w:val="auto"/>
                <w:w w:val="89"/>
              </w:rPr>
              <w:t>England and Wales</w:t>
            </w:r>
          </w:p>
        </w:tc>
        <w:tc>
          <w:tcPr>
            <w:tcW w:w="3780" w:type="dxa"/>
            <w:vAlign w:val="bottom"/>
          </w:tcPr>
          <w:p>
            <w:pPr>
              <w:jc w:val="right"/>
              <w:ind w:right="661"/>
              <w:spacing w:after="0"/>
              <w:rPr>
                <w:sz w:val="20"/>
                <w:szCs w:val="20"/>
                <w:color w:val="auto"/>
              </w:rPr>
            </w:pPr>
            <w:r>
              <w:rPr>
                <w:rFonts w:ascii="Arial" w:cs="Arial" w:eastAsia="Arial" w:hAnsi="Arial"/>
                <w:sz w:val="18"/>
                <w:szCs w:val="18"/>
                <w:b w:val="1"/>
                <w:bCs w:val="1"/>
                <w:color w:val="auto"/>
              </w:rPr>
              <w:t>98-1268150</w:t>
            </w:r>
          </w:p>
        </w:tc>
      </w:tr>
      <w:tr>
        <w:trPr>
          <w:trHeight w:val="216"/>
        </w:trPr>
        <w:tc>
          <w:tcPr>
            <w:tcW w:w="4900" w:type="dxa"/>
            <w:vAlign w:val="bottom"/>
          </w:tcPr>
          <w:p>
            <w:pPr>
              <w:jc w:val="center"/>
              <w:ind w:right="1339"/>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3780" w:type="dxa"/>
            <w:vAlign w:val="bottom"/>
          </w:tcPr>
          <w:p>
            <w:pPr>
              <w:jc w:val="center"/>
              <w:ind w:left="1341"/>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617"/>
        </w:trPr>
        <w:tc>
          <w:tcPr>
            <w:tcW w:w="490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20 Eastbourne Terrace</w:t>
            </w:r>
          </w:p>
        </w:tc>
        <w:tc>
          <w:tcPr>
            <w:tcW w:w="3780" w:type="dxa"/>
            <w:vAlign w:val="bottom"/>
          </w:tcPr>
          <w:p>
            <w:pPr>
              <w:spacing w:after="0"/>
              <w:rPr>
                <w:sz w:val="24"/>
                <w:szCs w:val="24"/>
                <w:color w:val="auto"/>
              </w:rPr>
            </w:pPr>
          </w:p>
        </w:tc>
      </w:tr>
      <w:tr>
        <w:trPr>
          <w:trHeight w:val="248"/>
        </w:trPr>
        <w:tc>
          <w:tcPr>
            <w:tcW w:w="4900" w:type="dxa"/>
            <w:vAlign w:val="bottom"/>
          </w:tcPr>
          <w:p>
            <w:pPr>
              <w:jc w:val="center"/>
              <w:ind w:right="1559"/>
              <w:spacing w:after="0"/>
              <w:rPr>
                <w:sz w:val="20"/>
                <w:szCs w:val="20"/>
                <w:color w:val="auto"/>
              </w:rPr>
            </w:pPr>
            <w:r>
              <w:rPr>
                <w:rFonts w:ascii="Arial" w:cs="Arial" w:eastAsia="Arial" w:hAnsi="Arial"/>
                <w:sz w:val="18"/>
                <w:szCs w:val="18"/>
                <w:b w:val="1"/>
                <w:bCs w:val="1"/>
                <w:color w:val="auto"/>
                <w:w w:val="92"/>
              </w:rPr>
              <w:t>London, United Kingdom</w:t>
            </w:r>
          </w:p>
        </w:tc>
        <w:tc>
          <w:tcPr>
            <w:tcW w:w="3780" w:type="dxa"/>
            <w:vAlign w:val="bottom"/>
          </w:tcPr>
          <w:p>
            <w:pPr>
              <w:ind w:left="2220"/>
              <w:spacing w:after="0"/>
              <w:rPr>
                <w:sz w:val="20"/>
                <w:szCs w:val="20"/>
                <w:color w:val="auto"/>
              </w:rPr>
            </w:pPr>
            <w:r>
              <w:rPr>
                <w:rFonts w:ascii="Arial" w:cs="Arial" w:eastAsia="Arial" w:hAnsi="Arial"/>
                <w:sz w:val="18"/>
                <w:szCs w:val="18"/>
                <w:b w:val="1"/>
                <w:bCs w:val="1"/>
                <w:color w:val="auto"/>
              </w:rPr>
              <w:t>W2 6LG</w:t>
            </w:r>
          </w:p>
        </w:tc>
      </w:tr>
      <w:tr>
        <w:trPr>
          <w:trHeight w:val="216"/>
        </w:trPr>
        <w:tc>
          <w:tcPr>
            <w:tcW w:w="4900" w:type="dxa"/>
            <w:vAlign w:val="bottom"/>
          </w:tcPr>
          <w:p>
            <w:pPr>
              <w:jc w:val="center"/>
              <w:ind w:right="1559"/>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80" w:type="dxa"/>
            <w:vAlign w:val="bottom"/>
          </w:tcPr>
          <w:p>
            <w:pPr>
              <w:ind w:left="2240"/>
              <w:spacing w:after="0"/>
              <w:rPr>
                <w:sz w:val="20"/>
                <w:szCs w:val="20"/>
                <w:color w:val="auto"/>
              </w:rPr>
            </w:pPr>
            <w:r>
              <w:rPr>
                <w:rFonts w:ascii="Arial" w:cs="Arial" w:eastAsia="Arial" w:hAnsi="Arial"/>
                <w:sz w:val="14"/>
                <w:szCs w:val="14"/>
                <w:b w:val="1"/>
                <w:bCs w:val="1"/>
                <w:color w:val="auto"/>
              </w:rPr>
              <w:t>(Zip Code)</w:t>
            </w:r>
          </w:p>
        </w:tc>
      </w:tr>
    </w:tbl>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2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LivaNova Global Employee Share Purchase Plan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(Full title of the plan)</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Company Secretariat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LivaNova Plc</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LivaNova USA, Inc.</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100 Cyberonics Blvd.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Houston, Texas 77058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and Address of agent of service)</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(281) 228-7200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(Telephone number, including area code, of agent of service)</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15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With a copy to:</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Abby E. Brown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Squire Patton Boggs (US)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2550 M Street, Northwest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457-6000</w:t>
      </w:r>
    </w:p>
    <w:p>
      <w:pPr>
        <w:spacing w:after="0" w:line="9" w:lineRule="exact"/>
        <w:rPr>
          <w:rFonts w:ascii="Arial" w:cs="Arial" w:eastAsia="Arial" w:hAnsi="Arial"/>
          <w:sz w:val="18"/>
          <w:szCs w:val="18"/>
          <w:b w:val="1"/>
          <w:bCs w:val="1"/>
          <w:color w:val="auto"/>
        </w:rPr>
      </w:pPr>
    </w:p>
    <w:p>
      <w:pPr>
        <w:ind w:left="4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w:t>
      </w:r>
    </w:p>
    <w:p>
      <w:pPr>
        <w:spacing w:after="0" w:line="251"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638" w:right="319" w:bottom="1440" w:gutter="0" w:footer="0" w:header="0"/>
        </w:sectPr>
      </w:pPr>
    </w:p>
    <w:p>
      <w:pPr>
        <w:spacing w:after="0" w:line="311" w:lineRule="exact"/>
        <w:rPr>
          <w:sz w:val="24"/>
          <w:szCs w:val="24"/>
          <w:color w:val="auto"/>
        </w:rPr>
      </w:pPr>
    </w:p>
    <w:p>
      <w:pPr>
        <w:ind w:left="9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7320" w:space="720"/>
            <w:col w:w="3300"/>
          </w:cols>
          <w:pgMar w:left="240" w:top="638" w:right="319" w:bottom="1440" w:gutter="0" w:footer="0" w:header="0"/>
          <w:type w:val="continuous"/>
        </w:sectPr>
      </w:pPr>
    </w:p>
    <w:p>
      <w:pPr>
        <w:ind w:left="9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3">
            <w:col w:w="2680" w:space="40"/>
            <w:col w:w="4600" w:space="720"/>
            <w:col w:w="3300"/>
          </w:cols>
          <w:pgMar w:left="240" w:top="638" w:right="319" w:bottom="1440" w:gutter="0" w:footer="0" w:header="0"/>
          <w:type w:val="continuous"/>
        </w:sectPr>
      </w:pPr>
    </w:p>
    <w:p>
      <w:pPr>
        <w:ind w:left="8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340"/>
          </w:cols>
          <w:pgMar w:left="240" w:top="638" w:right="319" w:bottom="1440" w:gutter="0" w:footer="0" w:header="0"/>
          <w:type w:val="continuous"/>
        </w:sectPr>
      </w:pPr>
    </w:p>
    <w:bookmarkStart w:id="1" w:name="page2"/>
    <w:bookmarkEnd w:id="1"/>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tcBorders>
              <w:top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58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0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2"/>
              </w:rPr>
              <w:t>Maximum</w:t>
            </w:r>
          </w:p>
        </w:tc>
        <w:tc>
          <w:tcPr>
            <w:tcW w:w="158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3"/>
              </w:rPr>
              <w:t>Proposed</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58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50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58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202"/>
        </w:trPr>
        <w:tc>
          <w:tcPr>
            <w:tcW w:w="5060" w:type="dxa"/>
            <w:vAlign w:val="bottom"/>
            <w:tcBorders>
              <w:bottom w:val="single" w:sz="8" w:color="auto"/>
              <w:right w:val="single" w:sz="8" w:color="auto"/>
            </w:tcBorders>
          </w:tcPr>
          <w:p>
            <w:pPr>
              <w:ind w:left="1540"/>
              <w:spacing w:after="0"/>
              <w:rPr>
                <w:sz w:val="20"/>
                <w:szCs w:val="20"/>
                <w:color w:val="auto"/>
              </w:rPr>
            </w:pPr>
            <w:r>
              <w:rPr>
                <w:rFonts w:ascii="Arial" w:cs="Arial" w:eastAsia="Arial" w:hAnsi="Arial"/>
                <w:sz w:val="14"/>
                <w:szCs w:val="14"/>
                <w:b w:val="1"/>
                <w:bCs w:val="1"/>
                <w:color w:val="auto"/>
              </w:rPr>
              <w:t>Title of Securities to be Registered</w:t>
            </w:r>
          </w:p>
        </w:tc>
        <w:tc>
          <w:tcPr>
            <w:tcW w:w="1600" w:type="dxa"/>
            <w:vAlign w:val="bottom"/>
            <w:tcBorders>
              <w:bottom w:val="single" w:sz="8" w:color="auto"/>
              <w:right w:val="single" w:sz="8" w:color="auto"/>
            </w:tcBorders>
          </w:tcPr>
          <w:p>
            <w:pPr>
              <w:jc w:val="center"/>
              <w:ind w:left="25"/>
              <w:spacing w:after="0" w:line="202"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5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8"/>
              </w:rPr>
              <w:t>Offering Price</w:t>
            </w:r>
          </w:p>
        </w:tc>
        <w:tc>
          <w:tcPr>
            <w:tcW w:w="15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r>
        <w:trPr>
          <w:trHeight w:val="291"/>
        </w:trPr>
        <w:tc>
          <w:tcPr>
            <w:tcW w:w="50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Ordinary Shares, par value £1.00 per share</w:t>
            </w:r>
          </w:p>
        </w:tc>
        <w:tc>
          <w:tcPr>
            <w:tcW w:w="1600" w:type="dxa"/>
            <w:vAlign w:val="bottom"/>
            <w:tcBorders>
              <w:right w:val="single" w:sz="8" w:color="auto"/>
            </w:tcBorders>
            <w:vMerge w:val="restart"/>
          </w:tcPr>
          <w:p>
            <w:pPr>
              <w:jc w:val="center"/>
              <w:ind w:left="5"/>
              <w:spacing w:after="0"/>
              <w:rPr>
                <w:sz w:val="20"/>
                <w:szCs w:val="20"/>
                <w:color w:val="auto"/>
              </w:rPr>
            </w:pPr>
            <w:r>
              <w:rPr>
                <w:rFonts w:ascii="Arial" w:cs="Arial" w:eastAsia="Arial" w:hAnsi="Arial"/>
                <w:sz w:val="18"/>
                <w:szCs w:val="18"/>
                <w:color w:val="auto"/>
                <w:w w:val="89"/>
              </w:rPr>
              <w:t>2,500,000</w:t>
            </w:r>
          </w:p>
        </w:tc>
        <w:tc>
          <w:tcPr>
            <w:tcW w:w="1600" w:type="dxa"/>
            <w:vAlign w:val="bottom"/>
            <w:tcBorders>
              <w:right w:val="single" w:sz="8" w:color="auto"/>
            </w:tcBorders>
            <w:vMerge w:val="restart"/>
          </w:tcPr>
          <w:p>
            <w:pPr>
              <w:jc w:val="center"/>
              <w:ind w:left="9"/>
              <w:spacing w:after="0"/>
              <w:rPr>
                <w:sz w:val="20"/>
                <w:szCs w:val="20"/>
                <w:color w:val="auto"/>
              </w:rPr>
            </w:pPr>
            <w:r>
              <w:rPr>
                <w:rFonts w:ascii="Arial" w:cs="Arial" w:eastAsia="Arial" w:hAnsi="Arial"/>
                <w:sz w:val="18"/>
                <w:szCs w:val="18"/>
                <w:color w:val="auto"/>
                <w:w w:val="86"/>
              </w:rPr>
              <w:t>$117.00</w:t>
            </w:r>
            <w:r>
              <w:rPr>
                <w:rFonts w:ascii="Arial" w:cs="Arial" w:eastAsia="Arial" w:hAnsi="Arial"/>
                <w:sz w:val="22"/>
                <w:szCs w:val="22"/>
                <w:color w:val="auto"/>
                <w:w w:val="86"/>
                <w:vertAlign w:val="superscript"/>
              </w:rPr>
              <w:t>(2)</w:t>
            </w:r>
          </w:p>
        </w:tc>
        <w:tc>
          <w:tcPr>
            <w:tcW w:w="15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8"/>
                <w:szCs w:val="18"/>
                <w:color w:val="auto"/>
                <w:w w:val="88"/>
              </w:rPr>
              <w:t>$292,500,000</w:t>
            </w:r>
          </w:p>
        </w:tc>
        <w:tc>
          <w:tcPr>
            <w:tcW w:w="1580" w:type="dxa"/>
            <w:vAlign w:val="bottom"/>
            <w:vMerge w:val="restart"/>
          </w:tcPr>
          <w:p>
            <w:pPr>
              <w:jc w:val="center"/>
              <w:ind w:left="27"/>
              <w:spacing w:after="0"/>
              <w:rPr>
                <w:sz w:val="20"/>
                <w:szCs w:val="20"/>
                <w:color w:val="auto"/>
              </w:rPr>
            </w:pPr>
            <w:r>
              <w:rPr>
                <w:rFonts w:ascii="Arial" w:cs="Arial" w:eastAsia="Arial" w:hAnsi="Arial"/>
                <w:sz w:val="18"/>
                <w:szCs w:val="18"/>
                <w:color w:val="auto"/>
                <w:w w:val="88"/>
              </w:rPr>
              <w:t>$35,451.00</w:t>
            </w:r>
          </w:p>
        </w:tc>
        <w:tc>
          <w:tcPr>
            <w:tcW w:w="0" w:type="dxa"/>
            <w:vAlign w:val="bottom"/>
          </w:tcPr>
          <w:p>
            <w:pPr>
              <w:spacing w:after="0"/>
              <w:rPr>
                <w:sz w:val="1"/>
                <w:szCs w:val="1"/>
                <w:color w:val="auto"/>
              </w:rPr>
            </w:pPr>
          </w:p>
        </w:tc>
      </w:tr>
      <w:tr>
        <w:trPr>
          <w:trHeight w:val="162"/>
        </w:trPr>
        <w:tc>
          <w:tcPr>
            <w:tcW w:w="5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1580" w:type="dxa"/>
            <w:vAlign w:val="bottom"/>
            <w:tcBorders>
              <w:bottom w:val="single" w:sz="8" w:color="auto"/>
              <w:right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right="140" w:hanging="465"/>
        <w:spacing w:after="0" w:line="25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registration statement, pursuant to Rule 416(a) under the Securities Act of 1933, as amended (the “Securities Act”), also covers an indeterminate number of additional Ordinary Shares, par value £1.00 per share of LivaNova PLC (the “Ordinary Shares”) with respect to the shares registered hereunder as may be issued to prevent dilution in the event of a stock split, stock dividend or similar transaction. In addition, pursuant to Rule 416(c) under the Securities Act, this registration statement also covers an indeterminate amount of interests to be offered or sold pursuant to the employee benefit plan described above.</w:t>
      </w:r>
    </w:p>
    <w:p>
      <w:pPr>
        <w:spacing w:after="0" w:line="242" w:lineRule="exact"/>
        <w:rPr>
          <w:rFonts w:ascii="Arial" w:cs="Arial" w:eastAsia="Arial" w:hAnsi="Arial"/>
          <w:sz w:val="18"/>
          <w:szCs w:val="18"/>
          <w:color w:val="auto"/>
        </w:rPr>
      </w:pPr>
    </w:p>
    <w:p>
      <w:pPr>
        <w:jc w:val="both"/>
        <w:ind w:left="500" w:right="180" w:hanging="465"/>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457(c) and (h) of the Securities Act solely for the purposes of calculating the amount of the registration fee. The fee with respect to the shares registered herein was based on the average of the high and low price per share of the Ordinary Shares on November 12, 2018, as reported by the NASDAQ Global Market LLC, which was $117.00 per Ordinary Share.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This Registration Statement registers 2,500,000 ordinary shares, par value £1.00 per share (the “Ordinary Shares”), of LivaNova PLC (the “Registrant”) reserved for issuance under the Registrant’s Global Employee Share Purchase Plan (the “2018 ESPP”).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to be filed with the Securities and Exchange Commission (the “Commission”) pursuant to the Note to Part I of Form S-8.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to be filed with the Commission pursuant to the Note to Part I of Form S-8.</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documents containing the information specified in Part I of Form S-8 will be sent or given to employees of the Registrant as specified by Rule 428(b)(1) promulgated under the Securities Act. Such documents are not required to be filed with the Commission either as part of this Registration Statement or as prospectuses or prospectus supplements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with the Commission are incorporated into this Registration Statement by reference:</w:t>
      </w:r>
    </w:p>
    <w:p>
      <w:pPr>
        <w:spacing w:after="0" w:line="387" w:lineRule="exact"/>
        <w:rPr>
          <w:sz w:val="20"/>
          <w:szCs w:val="20"/>
          <w:color w:val="auto"/>
        </w:rPr>
      </w:pPr>
    </w:p>
    <w:p>
      <w:pPr>
        <w:ind w:left="1760" w:right="40" w:hanging="915"/>
        <w:spacing w:after="0" w:line="264" w:lineRule="auto"/>
        <w:tabs>
          <w:tab w:leader="none" w:pos="1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2017, filed with the Commission on February 28, 2018 (including the information specifically incorporated by reference therein from the Registrant’s definitive proxy statement on Schedule 14A, filed with the Commission on April 30, 2018);</w:t>
      </w:r>
    </w:p>
    <w:p>
      <w:pPr>
        <w:spacing w:after="0" w:line="370" w:lineRule="exact"/>
        <w:rPr>
          <w:rFonts w:ascii="Arial" w:cs="Arial" w:eastAsia="Arial" w:hAnsi="Arial"/>
          <w:sz w:val="18"/>
          <w:szCs w:val="18"/>
          <w:color w:val="auto"/>
        </w:rPr>
      </w:pPr>
    </w:p>
    <w:p>
      <w:pPr>
        <w:ind w:left="1760" w:right="180" w:hanging="915"/>
        <w:spacing w:after="0" w:line="277" w:lineRule="auto"/>
        <w:tabs>
          <w:tab w:leader="none" w:pos="1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Quarterly Reports on Form 10-Q for the quarterly periods ended March 31, 2018, June 30, 2018 and September 30, 2018, filed with the Commission on May 3, 2018, August 2, 2018 and November 1, 2018, respectively;</w:t>
      </w:r>
    </w:p>
    <w:p>
      <w:pPr>
        <w:spacing w:after="0" w:line="359" w:lineRule="exact"/>
        <w:rPr>
          <w:rFonts w:ascii="Arial" w:cs="Arial" w:eastAsia="Arial" w:hAnsi="Arial"/>
          <w:sz w:val="18"/>
          <w:szCs w:val="18"/>
          <w:color w:val="auto"/>
        </w:rPr>
      </w:pPr>
    </w:p>
    <w:p>
      <w:pPr>
        <w:ind w:left="1760" w:right="80" w:hanging="915"/>
        <w:spacing w:after="0" w:line="264" w:lineRule="auto"/>
        <w:tabs>
          <w:tab w:leader="none" w:pos="1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16, 2018, February 12, 2018, February 14, 2018, March 8, 2018, March 16, 2018, March 26, 2018, April 4, 2018, April 30, 2018, May 31, 2018, June 15, 2018 and October 22, 2018;</w:t>
      </w:r>
    </w:p>
    <w:p>
      <w:pPr>
        <w:spacing w:after="0" w:line="370" w:lineRule="exact"/>
        <w:rPr>
          <w:rFonts w:ascii="Arial" w:cs="Arial" w:eastAsia="Arial" w:hAnsi="Arial"/>
          <w:sz w:val="18"/>
          <w:szCs w:val="18"/>
          <w:color w:val="auto"/>
        </w:rPr>
      </w:pPr>
    </w:p>
    <w:p>
      <w:pPr>
        <w:ind w:left="1760" w:hanging="915"/>
        <w:spacing w:after="0"/>
        <w:tabs>
          <w:tab w:leader="none" w:pos="1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 on Form 8-K/A filed with the Commission on May 31, 2018;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760" w:right="280" w:hanging="915"/>
        <w:spacing w:after="0" w:line="342" w:lineRule="auto"/>
        <w:tabs>
          <w:tab w:leader="none" w:pos="1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the Registrant's Ordinary Shares contained in the Registrant's Registration Statement on Form S-4 filed with the Commission on April 20, 2015, including any amendment or report filed for the purpose of updating such description.</w:t>
      </w:r>
    </w:p>
    <w:p>
      <w:pPr>
        <w:spacing w:after="0" w:line="15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Other than the portions of such documents that, by statute or rule, by designation in such document or otherwise, are not deemed to be filed with the Commission or are not required to be incorporated by reference.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documents subsequently filed by the Registrant pursuant to Sections 13(a), 13(c), 14 and 15(d) of the Securities Exchange Act of 1934, as amended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Subject to the foregoing, all information appearing in this Registration Statement is qualified in its entirety by the information appearing in the documents incorporated by reference in this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6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Registrant is currently a public limited company organized under the laws of England and Wales. Chapter 7 of Part 10 of the U.K. Companies Act 2006 contains provisions relating to directors’ liability. All statutory references in this Item 6 are to the U.K. Companies Act 2006.</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Section 232(2) makes void any provision by which a company directly or indirectly provides an indemnity for a director of the company against any liability attaching to him or her in connection with any negligence, default, breach of duty or breach of trust in relation to the company, except if permitted as:</w:t>
      </w:r>
    </w:p>
    <w:p>
      <w:pPr>
        <w:spacing w:after="0" w:line="16"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insurance within Section 233;</w:t>
      </w:r>
    </w:p>
    <w:p>
      <w:pPr>
        <w:spacing w:after="0" w:line="117"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qualifying third-party indemnity provisions falling within Section 234; or</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qualifying pension scheme indemnity provision under Section 235.</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 The Registrant maintains director and officer insurance in customary amounts.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Section 234 allows the Registrant to provide an indemnity against liability incurred by a director to someone other than the Registrant or an associated company of the Registrant. Such an indemnity does not permit indemnification against liability to pay criminal fines or civil penalties to a regulatory authority or the costs of an unsuccessful defense of criminal or civil proceedings or application for relief under Sections 661 (power of court to grant relief in case of acquisition of shares by innocent nominee) or 1157 (general power of court to grant relief in case of honest and reasonable conduct) of the U.K. Companies Act 2006.</w:t>
      </w:r>
    </w:p>
    <w:p>
      <w:pPr>
        <w:spacing w:after="0" w:line="188" w:lineRule="exact"/>
        <w:rPr>
          <w:sz w:val="20"/>
          <w:szCs w:val="20"/>
          <w:color w:val="auto"/>
        </w:rPr>
      </w:pPr>
    </w:p>
    <w:p>
      <w:pPr>
        <w:jc w:val="both"/>
        <w:ind w:right="600" w:firstLine="648"/>
        <w:spacing w:after="0" w:line="286" w:lineRule="auto"/>
        <w:rPr>
          <w:sz w:val="20"/>
          <w:szCs w:val="20"/>
          <w:color w:val="auto"/>
        </w:rPr>
      </w:pPr>
      <w:r>
        <w:rPr>
          <w:rFonts w:ascii="Arial" w:cs="Arial" w:eastAsia="Arial" w:hAnsi="Arial"/>
          <w:sz w:val="17"/>
          <w:szCs w:val="17"/>
          <w:color w:val="auto"/>
        </w:rPr>
        <w:t>Section 235 allows the Registrant to provide indemnification to a director that is a trustee of an occupational pension scheme if joint liability incurred in connection with the Registrant’s activities as trustee of the scheme. Such provision does not permit indemnification against liability to pay criminal fines or civil penalties to a regulatory authority or the costs of an unsuccessful defense of criminal proceedings.</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Any indemnity provided under Section 234 or Section 235 must be disclosed in the Registrant’s annual report in accordance with Section 236 and copies of such indemnification provisions made available for inspection in accordance with Section 237 (and every member has a right to inspect and request such copies under Section 238).</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Conduct of a director amounting to negligence, default, breach of duty or breach of trust in relation to the Registrant can be ratified, in accordance with Section 239, by a resolution of the members of the Registrant, disregarding the votes of the director (if a member) and any connected member.</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Registrant’s Amended Articles of Association provide that, subject to the U.K. Companies Act 2006, the Registrant may indemnify any person who is or was a director of the Registrant (or any associated company) against any loss or liability incurred by him whether in connection with any negligence, default, breach of duty or breach of trust by him or otherwise, in relation to the Registrant (or any associated company), and any person who is or was a director of an associated company that is a trustee of an occupational pension scheme, against any liability incurred by him in connection with the Registrant’s activities as trustee of an occupational pension scheme.</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Registrant’s Amended Articles of Association also provide that, subject to the U.K. Companies Act 2006, the Registrant may purchase and maintain insurance for or for the benefit of any person who is or was a director, officer or employee of the Registrant, or any corporate entity which is or was the holding company or subsidiary of the Registrant (or with which the Registrant or such holding company or subsidiary has or had an interest in or is or was in any way allied or associated). This includes, without limitation, insurance against any loss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both"/>
        <w:ind w:right="80"/>
        <w:spacing w:after="0" w:line="312" w:lineRule="auto"/>
        <w:rPr>
          <w:sz w:val="20"/>
          <w:szCs w:val="20"/>
          <w:color w:val="auto"/>
        </w:rPr>
      </w:pPr>
      <w:r>
        <w:rPr>
          <w:rFonts w:ascii="Arial" w:cs="Arial" w:eastAsia="Arial" w:hAnsi="Arial"/>
          <w:sz w:val="16"/>
          <w:szCs w:val="16"/>
          <w:color w:val="auto"/>
        </w:rPr>
        <w:t>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the Registrant or the relevant body.</w:t>
      </w:r>
    </w:p>
    <w:p>
      <w:pPr>
        <w:spacing w:after="0" w:line="3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Registrant has entered into deeds of indemnity (the “Deeds of Indemnification”) with certain directors and officers of the Registrant. Other than in connection with (i) liabilities determined to be result of fraud, gross negligence or willful misconduct or (ii) unauthorized claims initiated by the officer or director against the Registrant or its officers, directors or employees, the Deeds of Indemnification provide indemnification to such directors and officers to the fullest extent permitted by law arising out of, or in connection with, the actual or purported exercise of, or failure to exercise, any of such person’s powers, duties or responsibilities as a director or officer of the Registrant or any of its subsidiaries. Further, pursuant to the Deeds of Indemnification, the Registrant agrees to advance expenses incurred in defense of these proceedings, on the terms and conditions set forth in the Deeds of Indemnification. The Deeds of Indemnification indicate that the Registrant shall maintain appropriate directors and officers liability insurance, to the extent reasonable and also provide procedures for requesting and obtaining indemnification and advancement of expenses.</w:t>
      </w:r>
    </w:p>
    <w:p>
      <w:pPr>
        <w:spacing w:after="0" w:line="17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March 23, 2015, the Registrant, Cypher Merger Sub, Inc., a Delaware corporation and wholly-owned subsidiary of the Registrant (“Merger Sub”), Sorin S.p.A., a joint stock company organized under the laws of Italy (“Sorin”), and Cyberonics, Inc., a Delaware corporation (“Cyberonics”), entered into a merger agreement (the “Merger Agreement”). Pursuant to the Merger Agreement, Sorin merged with and into the Registrant, with the Registrant continuing as the surviving company (the “Sorin Merger”). Immediately following the Sorin Merger, Merger Sub merged with and into Cyberonics, with Cyberonics continuing as the surviving company and as a wholly owned subsidiary of the Registrant (the “Cyberonics Merger”). We refer to the Sorin Merger and the Cyberonics Merger together as the “Mergers.” Subsequently, effective June 30, 2017, Cyberonics changed its name to LivaNova USA, Inc.</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Merger Agreement provides that, from and after the completion of the Mergers, the Registrant and the Cyberonics Merger surviving corporation (in the case of directors, officers, employees and agents of Cyberonics and its subsidiaries), and the Registrant or one of its subsidiaries, to the extent required by law and for a period of six (6) years following the Sorin Merger effective time (in the case of directors, officers, employees and agents of Sorin and its subsidiaries), will indemnify and hold harmless, to the fullest extent permitted under applicable law (and advance expenses as incurred, provided that the person to whom expenses are advanced provides an undertaking to repay such advances if it is ultimately determined that such person is not entitled to indemnification) each present and former director, officer, employee and agent of Cyberonics, Sorin or any of their subsidiaries against any costs or expenses (including reasonable attorneys’ fees), judgments, settlement amounts, fines, losses, claims, damages or liabilities incurred in connection with any claim, action, suit, proceeding or investigation, whether civil criminal, administrative or investigative, arising out of or related to such person’s service as a director, officer, employee or agent of Sorin or its subsidiaries at or prior to the Sorin Merger effective time, or of Cyberonics or any of its subsidiaries at or prior to the Cyberonics Merger effective time.</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Merger Agreement further provides that, for a period of not less than six years after completion of the Mergers, the articles of association, certificates of incorporation and by-laws of the Registrant, the Cyberonics Merger surviving corporation and their respective subsidiaries will contain provisions no less favorable with respect to exculpation, indemnification and advancement of expenses to directors, officers, employees and agents than those set forth in Sorin’s, Cyberonics’ and their respective subsidiaries’ certificate of incorporation, by-laws or other equivalent organizational documents as of the date of the letter of intent, except as may be required by applicable law. The contractual indemnification rights, if any, existing as of the date of the letter of intent, of the directors, officers, employees and agents of Sorin and Cyberonics will be assumed by the Registrant and Cyberonics and will continue in full force and effect in accordance with their terms following the completion of the Mergers.</w:t>
      </w:r>
    </w:p>
    <w:p>
      <w:pPr>
        <w:spacing w:after="0" w:line="17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Additionally, for the benefit of Sorin’s and Cyberonics’ former directors and officers, prior to completion of the Mergers, Cyberonics and Sorin will be permitted and, if Cyberonics or Sorin are unable to or do not do so, the Registrant will or will cause the Cyberonics Merger surviving corporation following the completion of the Mergers to, as applicable, obtain and fully pay the premium for a “tail” directors’ and officers’ liability insurance and indemnification policy that provides coverage for a period of six (6) years from the effective times for events occurring prior to the effective times, that is no less favorable in the aggregate than Cyberonics’ existing policies, except as may be required by law, and that has a cost not in excess of 300% of the last annual premiums paid by Sorin or Cyberonics, as the case may be, prior to the date of the Merger Agreement for the directors’ and officers’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584" w:right="259" w:bottom="1440" w:gutter="0" w:footer="0" w:header="0"/>
        </w:sectPr>
      </w:pPr>
    </w:p>
    <w:bookmarkStart w:id="6" w:name="page7"/>
    <w:bookmarkEnd w:id="6"/>
    <w:p>
      <w:pPr>
        <w:jc w:val="both"/>
        <w:ind w:right="400"/>
        <w:spacing w:after="0" w:line="264" w:lineRule="auto"/>
        <w:rPr>
          <w:sz w:val="20"/>
          <w:szCs w:val="20"/>
          <w:color w:val="auto"/>
        </w:rPr>
      </w:pPr>
      <w:r>
        <w:rPr>
          <w:rFonts w:ascii="Arial" w:cs="Arial" w:eastAsia="Arial" w:hAnsi="Arial"/>
          <w:sz w:val="18"/>
          <w:szCs w:val="18"/>
          <w:color w:val="auto"/>
        </w:rPr>
        <w:t>insurance currently in place in effect for such party as of the date of the Merger Agreement. In the event the annual premiums necessary to provide such coverage exceed 300% of the last annual premium paid prior to the date of the Merger Agreement, the Registrant or Cyberonics, as the case may be, will obtain a policy with the greatest amount of coverage available for a cost not to exceed such amount.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event either the Registrant or Cyberonics (or both) later consolidates with or merges into another person and shall not be the continuing or surviving corporation or entity of such consolidation or merger, or transfers all or substantially all of its assets to another person, then proper provision will be made such that the surviving or continuing company will assume the indemnification and insurance obligations of the Registrant and/or Cyberonics, as the case may be, set forth in the Merger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to this Registration Statement are described below.</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80" w:type="dxa"/>
            <w:vAlign w:val="bottom"/>
            <w:gridSpan w:val="4"/>
          </w:tcPr>
          <w:p>
            <w:pPr>
              <w:ind w:left="100"/>
              <w:spacing w:after="0"/>
              <w:rPr>
                <w:sz w:val="20"/>
                <w:szCs w:val="20"/>
                <w:color w:val="auto"/>
              </w:rPr>
            </w:pPr>
            <w:r>
              <w:rPr>
                <w:rFonts w:ascii="Arial" w:cs="Arial" w:eastAsia="Arial" w:hAnsi="Arial"/>
                <w:sz w:val="14"/>
                <w:szCs w:val="14"/>
                <w:b w:val="1"/>
                <w:bCs w:val="1"/>
                <w:color w:val="auto"/>
              </w:rPr>
              <w:t>Exhibit</w:t>
            </w:r>
          </w:p>
        </w:tc>
      </w:tr>
      <w:tr>
        <w:trPr>
          <w:trHeight w:val="188"/>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60"/>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460" w:type="dxa"/>
            <w:vAlign w:val="bottom"/>
            <w:tcBorders>
              <w:top w:val="single" w:sz="8" w:color="auto"/>
            </w:tcBorders>
            <w:gridSpan w:val="9"/>
          </w:tcPr>
          <w:p>
            <w:pPr>
              <w:spacing w:after="0"/>
              <w:rPr>
                <w:rFonts w:ascii="Arial" w:cs="Arial" w:eastAsia="Arial" w:hAnsi="Arial"/>
                <w:sz w:val="18"/>
                <w:szCs w:val="18"/>
                <w:color w:val="0000FF"/>
                <w:w w:val="92"/>
              </w:rPr>
            </w:pPr>
            <w:hyperlink r:id="rId9">
              <w:r>
                <w:rPr>
                  <w:rFonts w:ascii="Arial" w:cs="Arial" w:eastAsia="Arial" w:hAnsi="Arial"/>
                  <w:sz w:val="18"/>
                  <w:szCs w:val="18"/>
                  <w:color w:val="0000FF"/>
                  <w:w w:val="92"/>
                </w:rPr>
                <w:t>Amended Articles of Association of LivaNova PLC, effective as from June 14, 2017 (incorporated by reference to Exhibit 3.2 to the Registrant’s</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9">
              <w:r>
                <w:rPr>
                  <w:rFonts w:ascii="Arial" w:cs="Arial" w:eastAsia="Arial" w:hAnsi="Arial"/>
                  <w:sz w:val="18"/>
                  <w:szCs w:val="18"/>
                  <w:color w:val="0000FF"/>
                </w:rPr>
                <w:t>Annual Report on Form 10-K, filed on February 28, 2018 (File No. 001-37599))</w:t>
              </w:r>
            </w:hyperlink>
          </w:p>
        </w:tc>
        <w:tc>
          <w:tcPr>
            <w:tcW w:w="40" w:type="dxa"/>
            <w:vAlign w:val="bottom"/>
          </w:tcPr>
          <w:p>
            <w:pPr>
              <w:spacing w:after="0"/>
              <w:rPr>
                <w:sz w:val="17"/>
                <w:szCs w:val="17"/>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Opinion of Squire Patton Boggs (US) LLP (filed herewith)</w:t>
            </w:r>
          </w:p>
        </w:tc>
        <w:tc>
          <w:tcPr>
            <w:tcW w:w="1540" w:type="dxa"/>
            <w:vAlign w:val="bottom"/>
            <w:tcBorders>
              <w:top w:val="single" w:sz="8" w:color="0000FF"/>
            </w:tcBorders>
            <w:gridSpan w:val="2"/>
          </w:tcPr>
          <w:p>
            <w:pPr>
              <w:spacing w:after="0"/>
              <w:rPr>
                <w:sz w:val="24"/>
                <w:szCs w:val="24"/>
                <w:color w:val="auto"/>
              </w:rPr>
            </w:pPr>
          </w:p>
        </w:tc>
        <w:tc>
          <w:tcPr>
            <w:tcW w:w="4680" w:type="dxa"/>
            <w:vAlign w:val="bottom"/>
            <w:gridSpan w:val="3"/>
          </w:tcPr>
          <w:p>
            <w:pPr>
              <w:spacing w:after="0"/>
              <w:rPr>
                <w:sz w:val="24"/>
                <w:szCs w:val="24"/>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Consent of Squire Patton Boggs (US) LLP (included in Exhibit 5.1)</w:t>
            </w:r>
          </w:p>
        </w:tc>
        <w:tc>
          <w:tcPr>
            <w:tcW w:w="5580" w:type="dxa"/>
            <w:vAlign w:val="bottom"/>
            <w:gridSpan w:val="4"/>
          </w:tcPr>
          <w:p>
            <w:pPr>
              <w:spacing w:after="0"/>
              <w:rPr>
                <w:sz w:val="24"/>
                <w:szCs w:val="24"/>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Consent of PricewaterhouseCoopers S.p.A (filed herewith)</w:t>
            </w:r>
          </w:p>
        </w:tc>
        <w:tc>
          <w:tcPr>
            <w:tcW w:w="6220" w:type="dxa"/>
            <w:vAlign w:val="bottom"/>
            <w:gridSpan w:val="5"/>
          </w:tcPr>
          <w:p>
            <w:pPr>
              <w:spacing w:after="0"/>
              <w:rPr>
                <w:sz w:val="24"/>
                <w:szCs w:val="24"/>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Consent of KPMG LLP (filed herewith)</w:t>
            </w:r>
          </w:p>
        </w:tc>
        <w:tc>
          <w:tcPr>
            <w:tcW w:w="7580" w:type="dxa"/>
            <w:vAlign w:val="bottom"/>
            <w:gridSpan w:val="7"/>
          </w:tcPr>
          <w:p>
            <w:pPr>
              <w:spacing w:after="0"/>
              <w:rPr>
                <w:sz w:val="24"/>
                <w:szCs w:val="24"/>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20" w:type="dxa"/>
            <w:vAlign w:val="bottom"/>
            <w:tcBorders>
              <w:bottom w:val="single" w:sz="8" w:color="0000EE"/>
            </w:tcBorders>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Power of Attorney (see signature page)</w:t>
              </w:r>
            </w:hyperlink>
          </w:p>
        </w:tc>
        <w:tc>
          <w:tcPr>
            <w:tcW w:w="7640" w:type="dxa"/>
            <w:vAlign w:val="bottom"/>
            <w:gridSpan w:val="8"/>
          </w:tcPr>
          <w:p>
            <w:pPr>
              <w:spacing w:after="0"/>
              <w:rPr>
                <w:sz w:val="24"/>
                <w:szCs w:val="24"/>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60" w:type="dxa"/>
            <w:vAlign w:val="bottom"/>
            <w:tcBorders>
              <w:bottom w:val="single" w:sz="8" w:color="0000FF"/>
            </w:tcBorders>
            <w:gridSpan w:val="7"/>
          </w:tcPr>
          <w:p>
            <w:pPr>
              <w:spacing w:after="0"/>
              <w:rPr>
                <w:rFonts w:ascii="Arial" w:cs="Arial" w:eastAsia="Arial" w:hAnsi="Arial"/>
                <w:sz w:val="18"/>
                <w:szCs w:val="18"/>
                <w:color w:val="0000FF"/>
                <w:w w:val="90"/>
              </w:rPr>
            </w:pPr>
            <w:hyperlink r:id="rId10">
              <w:r>
                <w:rPr>
                  <w:rFonts w:ascii="Arial" w:cs="Arial" w:eastAsia="Arial" w:hAnsi="Arial"/>
                  <w:sz w:val="18"/>
                  <w:szCs w:val="18"/>
                  <w:color w:val="0000FF"/>
                  <w:w w:val="90"/>
                </w:rPr>
                <w:t>LivaNova Global Employee Share Purchase Plan (incorporated by reference to Exhibit 10.4 to the Registrant’s Quarterly Report on Form 10-Q,</w:t>
              </w:r>
            </w:hyperlink>
          </w:p>
        </w:tc>
        <w:tc>
          <w:tcPr>
            <w:tcW w:w="100" w:type="dxa"/>
            <w:vAlign w:val="bottom"/>
            <w:gridSpan w:val="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0">
              <w:r>
                <w:rPr>
                  <w:rFonts w:ascii="Arial" w:cs="Arial" w:eastAsia="Arial" w:hAnsi="Arial"/>
                  <w:sz w:val="18"/>
                  <w:szCs w:val="18"/>
                  <w:color w:val="0000FF"/>
                  <w:w w:val="92"/>
                </w:rPr>
                <w:t>filed on August 2, 2018 (File No. 001-37599))</w:t>
              </w:r>
            </w:hyperlink>
          </w:p>
        </w:tc>
        <w:tc>
          <w:tcPr>
            <w:tcW w:w="7120" w:type="dxa"/>
            <w:vAlign w:val="bottom"/>
            <w:gridSpan w:val="6"/>
          </w:tcPr>
          <w:p>
            <w:pPr>
              <w:spacing w:after="0"/>
              <w:rPr>
                <w:sz w:val="17"/>
                <w:szCs w:val="17"/>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35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20" w:hanging="215"/>
        <w:spacing w:after="0"/>
        <w:tabs>
          <w:tab w:leader="none" w:pos="1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60" w:firstLine="1305"/>
        <w:spacing w:after="0" w:line="293" w:lineRule="auto"/>
        <w:tabs>
          <w:tab w:leader="none" w:pos="1561"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0" w:lineRule="exact"/>
        <w:rPr>
          <w:rFonts w:ascii="Arial" w:cs="Arial" w:eastAsia="Arial" w:hAnsi="Arial"/>
          <w:sz w:val="16"/>
          <w:szCs w:val="16"/>
          <w:color w:val="auto"/>
        </w:rPr>
      </w:pPr>
    </w:p>
    <w:p>
      <w:pPr>
        <w:ind w:right="240" w:firstLine="1305"/>
        <w:spacing w:after="0" w:line="277" w:lineRule="auto"/>
        <w:tabs>
          <w:tab w:leader="none" w:pos="1611"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584" w:right="239" w:bottom="1440" w:gutter="0" w:footer="0" w:header="0"/>
        </w:sectPr>
      </w:pPr>
    </w:p>
    <w:bookmarkStart w:id="7" w:name="page8"/>
    <w:bookmarkEnd w:id="7"/>
    <w:p>
      <w:pPr>
        <w:ind w:right="40" w:firstLine="1297"/>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herein.</w:t>
      </w:r>
    </w:p>
    <w:p>
      <w:pPr>
        <w:spacing w:after="0" w:line="127" w:lineRule="exact"/>
        <w:rPr>
          <w:sz w:val="20"/>
          <w:szCs w:val="20"/>
          <w:color w:val="auto"/>
        </w:rPr>
      </w:pPr>
    </w:p>
    <w:p>
      <w:pPr>
        <w:ind w:right="420" w:firstLine="656"/>
        <w:spacing w:after="0" w:line="264" w:lineRule="auto"/>
        <w:tabs>
          <w:tab w:leader="none" w:pos="903"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7" w:lineRule="exact"/>
        <w:rPr>
          <w:rFonts w:ascii="Arial" w:cs="Arial" w:eastAsia="Arial" w:hAnsi="Arial"/>
          <w:sz w:val="18"/>
          <w:szCs w:val="18"/>
          <w:color w:val="auto"/>
        </w:rPr>
      </w:pPr>
    </w:p>
    <w:p>
      <w:pPr>
        <w:ind w:right="820" w:firstLine="656"/>
        <w:spacing w:after="0" w:line="277" w:lineRule="auto"/>
        <w:tabs>
          <w:tab w:leader="none" w:pos="903"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right="180" w:firstLine="8"/>
        <w:spacing w:after="0" w:line="302" w:lineRule="auto"/>
        <w:tabs>
          <w:tab w:leader="none" w:pos="387"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00" w:lineRule="exact"/>
        <w:rPr>
          <w:rFonts w:ascii="Arial" w:cs="Arial" w:eastAsia="Arial" w:hAnsi="Arial"/>
          <w:sz w:val="16"/>
          <w:szCs w:val="16"/>
          <w:color w:val="auto"/>
        </w:rPr>
      </w:pPr>
    </w:p>
    <w:p>
      <w:pPr>
        <w:ind w:firstLine="8"/>
        <w:spacing w:after="0" w:line="291"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53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London, United Kingdom, on November 16,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LivaNova PLC</w:t>
      </w:r>
    </w:p>
    <w:p>
      <w:pPr>
        <w:spacing w:after="0" w:line="150" w:lineRule="exact"/>
        <w:rPr>
          <w:sz w:val="20"/>
          <w:szCs w:val="20"/>
          <w:color w:val="auto"/>
        </w:rPr>
      </w:pPr>
    </w:p>
    <w:p>
      <w:pPr>
        <w:ind w:left="6620"/>
        <w:spacing w:after="0"/>
        <w:tabs>
          <w:tab w:leader="none" w:pos="72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51435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Damien McDonald</w:t>
      </w:r>
    </w:p>
    <w:p>
      <w:pPr>
        <w:spacing w:after="0" w:line="4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0000EE"/>
        </w:rPr>
        <w:t>POWER OF ATTORNEY</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 Keyna Skeffington</w:t>
      </w:r>
      <w:r>
        <w:rPr>
          <w:rFonts w:ascii="Arial" w:cs="Arial" w:eastAsia="Arial" w:hAnsi="Arial"/>
          <w:sz w:val="18"/>
          <w:szCs w:val="18"/>
          <w:i w:val="1"/>
          <w:iCs w:val="1"/>
          <w:color w:val="auto"/>
        </w:rPr>
        <w:t xml:space="preserve"> </w:t>
      </w:r>
      <w:r>
        <w:rPr>
          <w:rFonts w:ascii="Arial" w:cs="Arial" w:eastAsia="Arial" w:hAnsi="Arial"/>
          <w:sz w:val="18"/>
          <w:szCs w:val="18"/>
          <w:color w:val="auto"/>
        </w:rPr>
        <w:t>as his true and lawful attorney-in-fact and agent with full power of substitution, for him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580" w:right="259" w:bottom="1440" w:gutter="0" w:footer="0" w:header="0"/>
        </w:sectPr>
      </w:pPr>
    </w:p>
    <w:bookmarkStart w:id="9" w:name="page10"/>
    <w:bookmarkEnd w:id="9"/>
    <w:p>
      <w:pPr>
        <w:ind w:left="40"/>
        <w:spacing w:after="0"/>
        <w:tabs>
          <w:tab w:leader="none" w:pos="3760" w:val="left"/>
          <w:tab w:leader="none" w:pos="82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w w:val="96"/>
              </w:rPr>
              <w:t>Director and Chief Executive Officer (Principal Executive</w:t>
            </w:r>
          </w:p>
        </w:tc>
        <w:tc>
          <w:tcPr>
            <w:tcW w:w="1580" w:type="dxa"/>
            <w:vAlign w:val="bottom"/>
          </w:tcPr>
          <w:p>
            <w:pPr>
              <w:spacing w:after="0"/>
              <w:rPr>
                <w:sz w:val="18"/>
                <w:szCs w:val="18"/>
                <w:color w:val="auto"/>
              </w:rPr>
            </w:pPr>
          </w:p>
        </w:tc>
      </w:tr>
      <w:tr>
        <w:trPr>
          <w:trHeight w:val="230"/>
        </w:trPr>
        <w:tc>
          <w:tcPr>
            <w:tcW w:w="3640" w:type="dxa"/>
            <w:vAlign w:val="bottom"/>
          </w:tcPr>
          <w:p>
            <w:pPr>
              <w:ind w:left="40"/>
              <w:spacing w:after="0"/>
              <w:rPr>
                <w:sz w:val="20"/>
                <w:szCs w:val="20"/>
                <w:color w:val="auto"/>
              </w:rPr>
            </w:pPr>
            <w:r>
              <w:rPr>
                <w:rFonts w:ascii="Arial" w:cs="Arial" w:eastAsia="Arial" w:hAnsi="Arial"/>
                <w:sz w:val="18"/>
                <w:szCs w:val="18"/>
                <w:color w:val="auto"/>
              </w:rPr>
              <w:t>/s/ Damien McDonald</w:t>
            </w:r>
          </w:p>
        </w:tc>
        <w:tc>
          <w:tcPr>
            <w:tcW w:w="4480" w:type="dxa"/>
            <w:vAlign w:val="bottom"/>
          </w:tcPr>
          <w:p>
            <w:pPr>
              <w:ind w:left="140"/>
              <w:spacing w:after="0"/>
              <w:rPr>
                <w:sz w:val="20"/>
                <w:szCs w:val="20"/>
                <w:color w:val="auto"/>
              </w:rPr>
            </w:pPr>
            <w:r>
              <w:rPr>
                <w:rFonts w:ascii="Arial" w:cs="Arial" w:eastAsia="Arial" w:hAnsi="Arial"/>
                <w:sz w:val="18"/>
                <w:szCs w:val="18"/>
                <w:color w:val="auto"/>
              </w:rPr>
              <w:t>Officer)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Damien McDonald</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Thad Huston</w:t>
            </w:r>
          </w:p>
        </w:tc>
        <w:tc>
          <w:tcPr>
            <w:tcW w:w="4480" w:type="dxa"/>
            <w:vAlign w:val="bottom"/>
          </w:tcPr>
          <w:p>
            <w:pPr>
              <w:ind w:left="140"/>
              <w:spacing w:after="0"/>
              <w:rPr>
                <w:sz w:val="20"/>
                <w:szCs w:val="20"/>
                <w:color w:val="auto"/>
              </w:rPr>
            </w:pPr>
            <w:r>
              <w:rPr>
                <w:rFonts w:ascii="Arial" w:cs="Arial" w:eastAsia="Arial" w:hAnsi="Arial"/>
                <w:sz w:val="18"/>
                <w:szCs w:val="18"/>
                <w:color w:val="auto"/>
              </w:rPr>
              <w:t>Chief Financial Officer (Principal Financial Officer)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Thad Huston</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Doug Manko</w:t>
            </w:r>
          </w:p>
        </w:tc>
        <w:tc>
          <w:tcPr>
            <w:tcW w:w="4480" w:type="dxa"/>
            <w:vAlign w:val="bottom"/>
          </w:tcPr>
          <w:p>
            <w:pPr>
              <w:ind w:left="140"/>
              <w:spacing w:after="0"/>
              <w:rPr>
                <w:sz w:val="20"/>
                <w:szCs w:val="20"/>
                <w:color w:val="auto"/>
              </w:rPr>
            </w:pPr>
            <w:r>
              <w:rPr>
                <w:rFonts w:ascii="Arial" w:cs="Arial" w:eastAsia="Arial" w:hAnsi="Arial"/>
                <w:sz w:val="18"/>
                <w:szCs w:val="18"/>
                <w:color w:val="auto"/>
                <w:w w:val="99"/>
              </w:rPr>
              <w:t>Chief Accounting Officer (Principal Accounting Officer)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Doug Manko</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Daniel J. Moore</w:t>
            </w:r>
          </w:p>
        </w:tc>
        <w:tc>
          <w:tcPr>
            <w:tcW w:w="4480" w:type="dxa"/>
            <w:vAlign w:val="bottom"/>
          </w:tcPr>
          <w:p>
            <w:pPr>
              <w:ind w:left="140"/>
              <w:spacing w:after="0"/>
              <w:rPr>
                <w:sz w:val="20"/>
                <w:szCs w:val="20"/>
                <w:color w:val="auto"/>
              </w:rPr>
            </w:pPr>
            <w:r>
              <w:rPr>
                <w:rFonts w:ascii="Arial" w:cs="Arial" w:eastAsia="Arial" w:hAnsi="Arial"/>
                <w:sz w:val="18"/>
                <w:szCs w:val="18"/>
                <w:color w:val="auto"/>
              </w:rPr>
              <w:t>Chairman of the Board of Directors</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Daniel J. Moore</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Francesco Bianchi</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Francesco Bianchi</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William A. Kozy</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William A. Kozy</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Hugh M. Morrison</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Hugh M. Morrison</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Alfred J. Novak</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Alfred J. Novak</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Sharon O’Kane</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Sharon O’Kane</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Arthur L. Rosenthal</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Arthur L. Rosenthal</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Andrea L. Saia</w:t>
            </w:r>
          </w:p>
        </w:tc>
        <w:tc>
          <w:tcPr>
            <w:tcW w:w="44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Andrea L. Saia</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3640" w:type="dxa"/>
            <w:vAlign w:val="bottom"/>
          </w:tcPr>
          <w:p>
            <w:pPr>
              <w:ind w:left="40"/>
              <w:spacing w:after="0"/>
              <w:rPr>
                <w:sz w:val="20"/>
                <w:szCs w:val="20"/>
                <w:color w:val="auto"/>
              </w:rPr>
            </w:pPr>
            <w:r>
              <w:rPr>
                <w:rFonts w:ascii="Arial" w:cs="Arial" w:eastAsia="Arial" w:hAnsi="Arial"/>
                <w:sz w:val="18"/>
                <w:szCs w:val="18"/>
                <w:color w:val="auto"/>
              </w:rPr>
              <w:t>/s/ David Wise</w:t>
            </w:r>
          </w:p>
        </w:tc>
        <w:tc>
          <w:tcPr>
            <w:tcW w:w="4480" w:type="dxa"/>
            <w:vAlign w:val="bottom"/>
          </w:tcPr>
          <w:p>
            <w:pPr>
              <w:ind w:left="140"/>
              <w:spacing w:after="0"/>
              <w:rPr>
                <w:sz w:val="20"/>
                <w:szCs w:val="20"/>
                <w:color w:val="auto"/>
              </w:rPr>
            </w:pPr>
            <w:r>
              <w:rPr>
                <w:rFonts w:ascii="Arial" w:cs="Arial" w:eastAsia="Arial" w:hAnsi="Arial"/>
                <w:sz w:val="18"/>
                <w:szCs w:val="18"/>
                <w:color w:val="auto"/>
              </w:rPr>
              <w:t>Authorized Representative in the United States</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November 16, 2018</w:t>
            </w:r>
          </w:p>
        </w:tc>
      </w:tr>
      <w:tr>
        <w:trPr>
          <w:trHeight w:val="27"/>
        </w:trPr>
        <w:tc>
          <w:tcPr>
            <w:tcW w:w="364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David Wise</w:t>
            </w: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219"/>
          </w:cols>
          <w:pgMar w:left="240" w:top="1113" w:right="1440"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THE PLAN</w:t>
      </w:r>
    </w:p>
    <w:p>
      <w:pPr>
        <w:spacing w:after="0" w:line="17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trustee (or other persons who administer the employee benefit plan) have duly caused this Registration Statement to be signed on its behalf by the undersigned thereunto duly authorized, in the city of London, United Kingdom, on November 16,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LivaNova Global Employee Share Purchase Plan</w:t>
      </w:r>
    </w:p>
    <w:p>
      <w:pPr>
        <w:sectPr>
          <w:pgSz w:w="11900" w:h="16838" w:orient="portrait"/>
          <w:cols w:equalWidth="0" w:num="1">
            <w:col w:w="11380"/>
          </w:cols>
          <w:pgMar w:left="240" w:top="580" w:right="279" w:bottom="1440" w:gutter="0" w:footer="0" w:header="0"/>
        </w:sectPr>
      </w:pPr>
    </w:p>
    <w:p>
      <w:pPr>
        <w:spacing w:after="0" w:line="33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40640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2658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Keyna Skeffington</w:t>
      </w:r>
    </w:p>
    <w:p>
      <w:pPr>
        <w:spacing w:after="0" w:line="6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Senior Vice President, General Counsel on behalf of the Compensation Committee of the Board of Directors</w:t>
      </w:r>
    </w:p>
    <w:p>
      <w:pPr>
        <w:spacing w:after="0" w:line="200" w:lineRule="exact"/>
        <w:rPr>
          <w:sz w:val="20"/>
          <w:szCs w:val="20"/>
          <w:color w:val="auto"/>
        </w:rPr>
      </w:pPr>
    </w:p>
    <w:p>
      <w:pPr>
        <w:sectPr>
          <w:pgSz w:w="11900" w:h="16838" w:orient="portrait"/>
          <w:cols w:equalWidth="0" w:num="2">
            <w:col w:w="6880" w:space="380"/>
            <w:col w:w="4120"/>
          </w:cols>
          <w:pgMar w:left="240" w:top="580" w:right="279" w:bottom="1440" w:gutter="0" w:footer="0" w:header="0"/>
          <w:type w:val="continuous"/>
        </w:sectPr>
      </w:pP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80"/>
          </w:cols>
          <w:pgMar w:left="240" w:top="580" w:right="279" w:bottom="1440" w:gutter="0" w:footer="0" w:header="0"/>
          <w:type w:val="continuous"/>
        </w:sectPr>
      </w:pPr>
    </w:p>
    <w:bookmarkStart w:id="11" w:name="page12"/>
    <w:bookmarkEnd w:id="11"/>
    <w:p>
      <w:pPr>
        <w:ind w:left="10500"/>
        <w:spacing w:after="0"/>
        <w:rPr>
          <w:sz w:val="20"/>
          <w:szCs w:val="20"/>
          <w:color w:val="auto"/>
        </w:rPr>
      </w:pPr>
      <w:r>
        <w:rPr>
          <w:rFonts w:ascii="Arial" w:cs="Arial" w:eastAsia="Arial" w:hAnsi="Arial"/>
          <w:sz w:val="18"/>
          <w:szCs w:val="18"/>
          <w:b w:val="1"/>
          <w:bCs w:val="1"/>
          <w:u w:val="single" w:color="auto"/>
          <w:color w:val="0000FF"/>
        </w:rPr>
        <w:t>Exhibit 5.1</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November 16,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0"/>
          <w:szCs w:val="20"/>
          <w:color w:val="auto"/>
        </w:rPr>
        <w:t>Board of Directors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color w:val="auto"/>
        </w:rPr>
        <w:t>LivaNova PLC</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20 Eastbourne Terrace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20"/>
          <w:szCs w:val="20"/>
          <w:color w:val="auto"/>
        </w:rPr>
        <w:t>London W2 6LG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Squire Patton Boggs (UK) LLP</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7 Devonshire Square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London EC2M 4YH</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DX 136546 Bishopsgate 2</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O +44 20 7655 1000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 +44 20 7655 1001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squirepattonboggs.com</w:t>
      </w:r>
    </w:p>
    <w:p>
      <w:pPr>
        <w:spacing w:after="0" w:line="200" w:lineRule="exact"/>
        <w:rPr>
          <w:sz w:val="20"/>
          <w:szCs w:val="20"/>
          <w:color w:val="auto"/>
        </w:rPr>
      </w:pPr>
    </w:p>
    <w:p>
      <w:pPr>
        <w:sectPr>
          <w:pgSz w:w="11900" w:h="16838" w:orient="portrait"/>
          <w:cols w:equalWidth="0" w:num="2">
            <w:col w:w="5400" w:space="720"/>
            <w:col w:w="5300"/>
          </w:cols>
          <w:pgMar w:left="240" w:top="144" w:right="2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56" w:lineRule="exact"/>
        <w:rPr>
          <w:sz w:val="20"/>
          <w:szCs w:val="20"/>
          <w:color w:val="auto"/>
        </w:rPr>
      </w:pPr>
    </w:p>
    <w:p>
      <w:pPr>
        <w:ind w:right="140"/>
        <w:spacing w:after="0" w:line="283" w:lineRule="auto"/>
        <w:rPr>
          <w:sz w:val="20"/>
          <w:szCs w:val="20"/>
          <w:color w:val="auto"/>
        </w:rPr>
      </w:pPr>
      <w:r>
        <w:rPr>
          <w:rFonts w:ascii="Arial" w:cs="Arial" w:eastAsia="Arial" w:hAnsi="Arial"/>
          <w:sz w:val="20"/>
          <w:szCs w:val="20"/>
          <w:color w:val="auto"/>
        </w:rPr>
        <w:t>We have acted as counsel to LivaNova PLC, a public limited company organised under the laws of England and Wales (the "Company"), and are delivering this opinion in connection with the Registration Statement on Form S-8 of the Company (together with all exhibits thereto, the "Registration Statement") being filed with the Securities and Exchange Commission on the date hereof. This Registration Statement relates to 2,500,000 ordinary shares, par value £1.00 per share, of the Company (the "Plan Shares") which may be issued or sold pursuant to the LivaNova Global Employee Share Purchase Plan (the "Plan").</w:t>
      </w:r>
    </w:p>
    <w:p>
      <w:pPr>
        <w:spacing w:after="0" w:line="211" w:lineRule="exact"/>
        <w:rPr>
          <w:sz w:val="20"/>
          <w:szCs w:val="20"/>
          <w:color w:val="auto"/>
        </w:rPr>
      </w:pPr>
    </w:p>
    <w:p>
      <w:pPr>
        <w:ind w:right="80"/>
        <w:spacing w:after="0" w:line="298" w:lineRule="auto"/>
        <w:rPr>
          <w:sz w:val="20"/>
          <w:szCs w:val="20"/>
          <w:color w:val="auto"/>
        </w:rPr>
      </w:pPr>
      <w:r>
        <w:rPr>
          <w:rFonts w:ascii="Arial" w:cs="Arial" w:eastAsia="Arial" w:hAnsi="Arial"/>
          <w:sz w:val="19"/>
          <w:szCs w:val="19"/>
          <w:color w:val="auto"/>
        </w:rPr>
        <w:t>In connection with this opinion, we have examined copies of (i) the Registration Statement, (ii) the articles of association of the Company, as amended, as presently in effect, (iii) the resolutions adopted by the Board of Directors of the Company, the committees thereof and the shareholders and related minutes that authorise the Registration Statement, the issuance of the Plan Shares, and other related matters, (iv) the Plan and (v) such other documents as we have deemed necessary or appropriate for purposes of this opinion. With respect to such examination, we have assumed the genuineness of all signatures on all documents reviewed by us, the authenticity of all documents submitted to us as originals, the conformity to authentic originals of all documents submitted to us as copies and the due execution and delivery of all documents by the parties thereto. We have also considered such legal matters as we have deemed necessary and relevant as the basis for this opinion. Insofar as this opinion relates to Plan Shares to be issued in the future, we have assumed that all applicable laws, rules and regulations in effect at the time of issuance are the same as such laws, rules and regulations in effect as of the date hereof and that there will be available at the time of the issuance of the Plan Shares a sufficient number of authorised and unissued ordinary shares in the Company. In addition, we have assumed that the resolutions of the Company's Board of Directors or its applicable committee authorising the Company to issue and deliver the Plan Shares pursuant to the Plan will be in full force and effect at all times at which such Plan Shares are issued and delivered by the Company, and that the Company will take no action inconsistent with such</w:t>
      </w:r>
    </w:p>
    <w:p>
      <w:pPr>
        <w:sectPr>
          <w:pgSz w:w="11900" w:h="16838" w:orient="portrait"/>
          <w:cols w:equalWidth="0" w:num="1">
            <w:col w:w="11420"/>
          </w:cols>
          <w:pgMar w:left="240" w:top="14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color w:val="auto"/>
        </w:rPr>
        <w:t>Squire Patton Boggs (UK) LLP</w:t>
      </w:r>
    </w:p>
    <w:p>
      <w:pPr>
        <w:spacing w:after="0" w:line="197" w:lineRule="auto"/>
        <w:rPr>
          <w:sz w:val="20"/>
          <w:szCs w:val="20"/>
          <w:color w:val="auto"/>
        </w:rPr>
      </w:pPr>
      <w:r>
        <w:rPr>
          <w:rFonts w:ascii="Arial" w:cs="Arial" w:eastAsia="Arial" w:hAnsi="Arial"/>
          <w:sz w:val="20"/>
          <w:szCs w:val="20"/>
          <w:color w:val="auto"/>
        </w:rPr>
        <w:t>Board of Directors</w:t>
      </w:r>
    </w:p>
    <w:p>
      <w:pPr>
        <w:spacing w:after="0"/>
        <w:rPr>
          <w:sz w:val="20"/>
          <w:szCs w:val="20"/>
          <w:color w:val="auto"/>
        </w:rPr>
      </w:pPr>
      <w:r>
        <w:rPr>
          <w:rFonts w:ascii="Arial" w:cs="Arial" w:eastAsia="Arial" w:hAnsi="Arial"/>
          <w:sz w:val="20"/>
          <w:szCs w:val="20"/>
          <w:color w:val="auto"/>
        </w:rPr>
        <w:t>November 16, 2018</w:t>
      </w:r>
    </w:p>
    <w:p>
      <w:pPr>
        <w:spacing w:after="0" w:line="240" w:lineRule="exact"/>
        <w:rPr>
          <w:sz w:val="20"/>
          <w:szCs w:val="20"/>
          <w:color w:val="auto"/>
        </w:rPr>
      </w:pPr>
    </w:p>
    <w:p>
      <w:pPr>
        <w:ind w:right="60"/>
        <w:spacing w:after="0" w:line="289" w:lineRule="auto"/>
        <w:rPr>
          <w:sz w:val="20"/>
          <w:szCs w:val="20"/>
          <w:color w:val="auto"/>
        </w:rPr>
      </w:pPr>
      <w:r>
        <w:rPr>
          <w:rFonts w:ascii="Arial" w:cs="Arial" w:eastAsia="Arial" w:hAnsi="Arial"/>
          <w:sz w:val="20"/>
          <w:szCs w:val="20"/>
          <w:color w:val="auto"/>
        </w:rPr>
        <w:t>resolutions. As to certain factual matters material to the opinion expressed herein, we have relied to the extent we deemed proper upon representations, warranties and statements of officers and other representatives of the Company.</w:t>
      </w:r>
    </w:p>
    <w:p>
      <w:pPr>
        <w:spacing w:after="0" w:line="202" w:lineRule="exact"/>
        <w:rPr>
          <w:sz w:val="20"/>
          <w:szCs w:val="20"/>
          <w:color w:val="auto"/>
        </w:rPr>
      </w:pPr>
    </w:p>
    <w:p>
      <w:pPr>
        <w:ind w:right="240"/>
        <w:spacing w:after="0" w:line="284" w:lineRule="auto"/>
        <w:rPr>
          <w:sz w:val="20"/>
          <w:szCs w:val="20"/>
          <w:color w:val="auto"/>
        </w:rPr>
      </w:pPr>
      <w:r>
        <w:rPr>
          <w:rFonts w:ascii="Arial" w:cs="Arial" w:eastAsia="Arial" w:hAnsi="Arial"/>
          <w:sz w:val="20"/>
          <w:szCs w:val="20"/>
          <w:color w:val="auto"/>
        </w:rPr>
        <w:t>Based upon and subject to the foregoing assumptions and qualifications, and the further qualifications set forth below, we are of the opinion that the Plan Shares to be issued by the Company have been duly authorised for issuance and, when issued and allotted, delivered and paid for in accordance with the terms of the Plan, will be validly issued, allotted, fully paid and nonassessable.</w:t>
      </w:r>
    </w:p>
    <w:p>
      <w:pPr>
        <w:spacing w:after="0" w:line="208" w:lineRule="exact"/>
        <w:rPr>
          <w:sz w:val="20"/>
          <w:szCs w:val="20"/>
          <w:color w:val="auto"/>
        </w:rPr>
      </w:pPr>
    </w:p>
    <w:p>
      <w:pPr>
        <w:ind w:right="240"/>
        <w:spacing w:after="0" w:line="289" w:lineRule="auto"/>
        <w:rPr>
          <w:sz w:val="20"/>
          <w:szCs w:val="20"/>
          <w:color w:val="auto"/>
        </w:rPr>
      </w:pPr>
      <w:r>
        <w:rPr>
          <w:rFonts w:ascii="Arial" w:cs="Arial" w:eastAsia="Arial" w:hAnsi="Arial"/>
          <w:sz w:val="20"/>
          <w:szCs w:val="20"/>
          <w:color w:val="auto"/>
        </w:rPr>
        <w:t>The opinions set forth herein are rendered as of the date hereof and are based solely upon the laws of England and Wales, and we express no opinion with respect to any other laws of any other jurisdiction.</w:t>
      </w:r>
    </w:p>
    <w:p>
      <w:pPr>
        <w:spacing w:after="0" w:line="202" w:lineRule="exact"/>
        <w:rPr>
          <w:sz w:val="20"/>
          <w:szCs w:val="20"/>
          <w:color w:val="auto"/>
        </w:rPr>
      </w:pPr>
    </w:p>
    <w:p>
      <w:pPr>
        <w:jc w:val="both"/>
        <w:ind w:right="540"/>
        <w:spacing w:after="0" w:line="284" w:lineRule="auto"/>
        <w:rPr>
          <w:sz w:val="20"/>
          <w:szCs w:val="20"/>
          <w:color w:val="auto"/>
        </w:rPr>
      </w:pPr>
      <w:r>
        <w:rPr>
          <w:rFonts w:ascii="Arial" w:cs="Arial" w:eastAsia="Arial" w:hAnsi="Arial"/>
          <w:sz w:val="20"/>
          <w:szCs w:val="20"/>
          <w:color w:val="auto"/>
        </w:rPr>
        <w:t>We hereby consent to the reference to our firm wherever appearing in the Registration Statement and to the inclusion of this opinion as an exhibit to the Registration Statement. In giving such consent, we do not admit hereby that we come within the category of persons whose consent is required under Section 7 of the Securities Act of 1933, as amended, or the rules and regulations promulgated thereunder.</w:t>
      </w:r>
    </w:p>
    <w:p>
      <w:pPr>
        <w:spacing w:after="0" w:line="208"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This opinion is furnished to you in connection with the filing of the Registration Statement, and is not to be used, circulated, quoted or otherwise relied upon for any other purpose, except as expressly provided in the preceding paragraph. This opinion is given as of the effective date of the Registration Statement, and we assume no obligation to update or supplement the opinions contained herein to reflect any facts or circumstances which may hereafter come to our attention or any changes in laws which may hereafter occur.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Squire Patton Boggs (UK) LLP</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Squire Patton Boggs (UK) LLP</w:t>
      </w:r>
    </w:p>
    <w:p>
      <w:pPr>
        <w:sectPr>
          <w:pgSz w:w="11900" w:h="16838" w:orient="portrait"/>
          <w:cols w:equalWidth="0" w:num="1">
            <w:col w:w="11400"/>
          </w:cols>
          <w:pgMar w:left="240" w:top="84" w:right="2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0000FF"/>
        </w:rPr>
        <w:t>Exhibit 23.2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jc w:val="both"/>
        <w:ind w:right="380"/>
        <w:spacing w:after="0" w:line="239" w:lineRule="exact"/>
        <w:rPr>
          <w:sz w:val="20"/>
          <w:szCs w:val="20"/>
          <w:color w:val="auto"/>
        </w:rPr>
      </w:pPr>
      <w:r>
        <w:rPr>
          <w:rFonts w:ascii="Arial" w:cs="Arial" w:eastAsia="Arial" w:hAnsi="Arial"/>
          <w:sz w:val="18"/>
          <w:szCs w:val="18"/>
          <w:color w:val="auto"/>
        </w:rPr>
        <w:t>We hereby consent to the incorporation by reference in this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of LivaNova PLC of our report dated February 28, 2018 relating to the financial statements and the effectiveness of internal control over financial reporting, which appears in LivaNova PLC’s Annual Report on Form 10-K for the year ended December 31,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SpA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Milan, Italy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2018</w:t>
      </w:r>
    </w:p>
    <w:p>
      <w:pPr>
        <w:sectPr>
          <w:pgSz w:w="11900" w:h="16838" w:orient="portrait"/>
          <w:cols w:equalWidth="0" w:num="1">
            <w:col w:w="11420"/>
          </w:cols>
          <w:pgMar w:left="240" w:top="378"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0000FF"/>
        </w:rPr>
        <w:t>Exhibit 23.3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on Form S-8 of LivaNova PLC and subsidiaries on our report dated June 15, 2015, with respect to the consolidated statements of income, comprehensive income, stockholders’ equity, and cash flows of Cyberonics, Inc. for the 52 weeks ended April 24, 2015, which report appears in the December 31, 2017 annual report on Form 10-K of LivaNova PLC.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2018</w:t>
      </w:r>
    </w:p>
    <w:sectPr>
      <w:pgSz w:w="11900" w:h="16838" w:orient="portrait"/>
      <w:cols w:equalWidth="0" w:num="1">
        <w:col w:w="11420"/>
      </w:cols>
      <w:pgMar w:left="240" w:top="3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02"/>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9" Type="http://schemas.openxmlformats.org/officeDocument/2006/relationships/hyperlink" Target="http://www.sec.gov/Archives/edgar/data/1639691/000163969118000016/livn-20171231xex32.htm" TargetMode="External"/><Relationship Id="rId10" Type="http://schemas.openxmlformats.org/officeDocument/2006/relationships/hyperlink" Target="http://www.sec.gov/Archives/edgar/data/1639691/000163969118000084/livn-20180630x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2019-12-08T13:02:58Z</dcterms:created>
  <dcterms:modified xsi:type="dcterms:W3CDTF">2019-12-08T13:02:58Z</dcterms:modified>
</cp:coreProperties>
</file>